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Times New Roman" w:hAnsi="Times New Roman" w:eastAsia="方正小标宋_GBK" w:cs="方正小标宋_GBK"/>
          <w:color w:val="auto"/>
          <w:kern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3"/>
          <w:szCs w:val="33"/>
          <w:lang w:val="en-US" w:eastAsia="zh-CN"/>
        </w:rPr>
        <w:t>2</w:t>
      </w:r>
    </w:p>
    <w:p w14:paraId="68C26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  <w:t>四川省岳池银泰投资（控股）有限公司简介</w:t>
      </w:r>
    </w:p>
    <w:p w14:paraId="0654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</w:p>
    <w:p w14:paraId="281A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四川省岳池银泰投资（控股）有限公司由原四川省岳池电力（集团）有限公司于2003年5月更名设立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系县属国有企业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注册资本2亿元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主要承担国有资产管理职能。2024年3月县属国有企业改革重组后，公司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3"/>
          <w:szCs w:val="33"/>
          <w:lang w:val="en-US" w:eastAsia="zh-CN"/>
        </w:rPr>
        <w:t>内设12个部门、2个纪检机构，下属二级全资子公司28个，二级控、参股子公司15个，三级子公司19个，四级子公司3个，代管公司3个，现有员工400余人。</w:t>
      </w:r>
    </w:p>
    <w:p w14:paraId="4753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以实体项目为抓手，以金融政策为支撑，以打造县域经济新引擎为战略方向，高度聚焦主责主业，充分挖掘增长潜力、培育发展动力、拓展发展空间，强力推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val="en-US" w:eastAsia="zh-CN"/>
        </w:rPr>
        <w:t>动产业集群发展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  <w:lang w:val="en-US" w:eastAsia="zh-CN"/>
        </w:rPr>
        <w:t>。公司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  <w:t>业务板块从原有的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</w:rPr>
        <w:t>“投融资、国有资产管理、工程建设、建材生产及销售、房地产开发、文化旅游、人力资源等”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w w:val="100"/>
          <w:kern w:val="0"/>
          <w:sz w:val="33"/>
          <w:szCs w:val="33"/>
          <w:lang w:val="en-US" w:eastAsia="zh-CN"/>
        </w:rPr>
        <w:t>大幅拓展为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</w:rPr>
        <w:t>“产业投融资（包括但不限于工业、生物医药、农业水利、现代服务业、文化旅游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val="en-US" w:eastAsia="zh-CN"/>
        </w:rPr>
        <w:t>酒店及商业综合体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</w:rPr>
        <w:t>等）、资产经营管理、担保类金融业务、房地产开发经营、工程咨询及测绘服务、文化旅游、人力资源服务、殡葬服务、农业水利开发、农作物（花卉）种植销售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val="en-US" w:eastAsia="zh-CN"/>
        </w:rPr>
        <w:t>粮油加工、生猪屠宰、畜禽粪污处理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val="en-US" w:eastAsia="zh-CN"/>
        </w:rPr>
        <w:t>等业务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3"/>
          <w:szCs w:val="33"/>
          <w:lang w:eastAsia="zh-CN"/>
        </w:rPr>
        <w:t>。</w:t>
      </w:r>
    </w:p>
    <w:p w14:paraId="648F6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</w:pPr>
    </w:p>
    <w:p w14:paraId="5AA5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</w:pPr>
    </w:p>
    <w:p w14:paraId="0AC74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-SA"/>
        </w:rPr>
        <w:t>岳池发展建设集团有限公司简介</w:t>
      </w:r>
    </w:p>
    <w:p w14:paraId="738D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3"/>
          <w:szCs w:val="33"/>
        </w:rPr>
      </w:pPr>
    </w:p>
    <w:p w14:paraId="23CC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宋体"/>
          <w:color w:val="auto"/>
          <w:kern w:val="2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kern w:val="2"/>
          <w:sz w:val="33"/>
          <w:szCs w:val="33"/>
          <w:lang w:val="en-US" w:eastAsia="zh-CN"/>
        </w:rPr>
        <w:t>岳池发展建设集团有限公司组建于2015年8月，系岳池县政府授权出资设立的国有企业，注册资本金6.7亿元。2024年3月，岳池交通投资建设开发集团有限公司等4家企业整体划入公司，目前资产总额73亿元，资产负债率52.7%。公司内设职能部门12个，辖管子公司32个，现有人员5</w:t>
      </w:r>
      <w:r>
        <w:rPr>
          <w:rFonts w:hint="eastAsia" w:ascii="Times New Roman" w:hAnsi="Times New Roman" w:eastAsia="方正仿宋_GBK" w:cs="宋体"/>
          <w:color w:val="auto"/>
          <w:kern w:val="2"/>
          <w:sz w:val="33"/>
          <w:szCs w:val="33"/>
          <w:lang w:val="en-US" w:eastAsia="zh-CN"/>
        </w:rPr>
        <w:t>81</w:t>
      </w:r>
      <w:r>
        <w:rPr>
          <w:rFonts w:hint="default" w:ascii="Times New Roman" w:hAnsi="Times New Roman" w:eastAsia="方正仿宋_GBK" w:cs="宋体"/>
          <w:color w:val="auto"/>
          <w:kern w:val="2"/>
          <w:sz w:val="33"/>
          <w:szCs w:val="33"/>
          <w:lang w:val="en-US" w:eastAsia="zh-CN"/>
        </w:rPr>
        <w:t>人。公司党委下设党支部9个，党员104名，在党委领导下设三会（股东会、董事会、监事会）一层（经理层），法人治理结构完善。公司主要经营范围为工业园区建设及运营、城市建设、交通建设、石油建材经营、房地产开发经营、国有资产运营管理、公共交通运营管理、污水处理厂（站）运营管理等。</w:t>
      </w:r>
    </w:p>
    <w:p w14:paraId="0FAE7168">
      <w:r>
        <w:rPr>
          <w:rFonts w:hint="default" w:ascii="Times New Roman" w:hAnsi="Times New Roman" w:eastAsia="方正仿宋_GBK" w:cs="宋体"/>
          <w:color w:val="auto"/>
          <w:kern w:val="2"/>
          <w:sz w:val="33"/>
          <w:szCs w:val="33"/>
          <w:lang w:val="en-US" w:eastAsia="zh-CN" w:bidi="ar-SA"/>
        </w:rPr>
        <w:t>公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3"/>
          <w:szCs w:val="33"/>
          <w:lang w:val="en-US" w:eastAsia="zh-CN" w:bidi="ar-SA"/>
        </w:rPr>
        <w:t>司秉承“善建者·立成远”的发展理念，始终坚持以产业发展为总牵引，确立以“做强医药健康和工程建设、做优道路客运和城乡污水治理、做大石油建材和新能源产业、做活国有资产管理和园区运营管理”为发展目标，加快推动公司从国有投资平台向综合型产业集群发展转型，</w:t>
      </w:r>
      <w:r>
        <w:rPr>
          <w:rFonts w:hint="default" w:ascii="Times New Roman" w:hAnsi="Times New Roman" w:eastAsia="方正仿宋_GBK" w:cs="宋体"/>
          <w:color w:val="auto"/>
          <w:kern w:val="2"/>
          <w:sz w:val="33"/>
          <w:szCs w:val="33"/>
          <w:lang w:val="en-US" w:eastAsia="zh-CN" w:bidi="ar-SA"/>
        </w:rPr>
        <w:t>全力打造一流国有企业品牌，助力社会经济高质量发展</w:t>
      </w:r>
      <w:r>
        <w:rPr>
          <w:rFonts w:hint="eastAsia" w:ascii="Times New Roman" w:hAnsi="Times New Roman" w:eastAsia="方正仿宋_GBK" w:cs="宋体"/>
          <w:color w:val="auto"/>
          <w:kern w:val="2"/>
          <w:sz w:val="33"/>
          <w:szCs w:val="33"/>
          <w:lang w:val="en-US" w:eastAsia="zh-CN" w:bidi="ar-SA"/>
        </w:rPr>
        <w:t>。</w:t>
      </w:r>
    </w:p>
    <w:p w14:paraId="1522970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4D98">
    <w:pPr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bidi w:val="0"/>
      <w:adjustRightInd/>
      <w:snapToGrid w:val="0"/>
      <w:spacing w:after="0" w:line="240" w:lineRule="auto"/>
      <w:ind w:left="420" w:leftChars="200" w:right="420" w:rightChars="200"/>
      <w:jc w:val="left"/>
      <w:textAlignment w:val="auto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default"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default"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default"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hint="default" w:ascii="Times New Roman" w:hAnsi="Times New Roman" w:eastAsia="宋体" w:cs="Times New Roman"/>
        <w:kern w:val="2"/>
        <w:sz w:val="28"/>
        <w:szCs w:val="28"/>
        <w:lang w:val="en-US" w:eastAsia="zh-CN" w:bidi="ar-SA"/>
      </w:rPr>
      <w:t>9</w:t>
    </w:r>
    <w:r>
      <w:rPr>
        <w:rFonts w:hint="default"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 w14:paraId="4C5AB3F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after="0" w:line="240" w:lineRule="auto"/>
      <w:ind w:left="420" w:leftChars="200" w:right="420" w:rightChars="200"/>
      <w:jc w:val="left"/>
      <w:textAlignment w:val="auto"/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7CB8D">
    <w:pPr>
      <w:widowControl/>
      <w:pBdr>
        <w:bottom w:val="none" w:color="auto" w:sz="0" w:space="0"/>
      </w:pBdr>
      <w:adjustRightInd w:val="0"/>
      <w:snapToGrid w:val="0"/>
      <w:spacing w:after="200" w:line="240" w:lineRule="auto"/>
      <w:jc w:val="center"/>
      <w:rPr>
        <w:rFonts w:ascii="Tahoma" w:hAnsi="Tahoma" w:eastAsia="微软雅黑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C7F9E"/>
    <w:rsid w:val="0EBC7F9E"/>
    <w:rsid w:val="1A6A4863"/>
    <w:rsid w:val="62D60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905</Characters>
  <Lines>0</Lines>
  <Paragraphs>0</Paragraphs>
  <TotalTime>2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2025-09-04T02:34:00Z</dcterms:created>
  <dc:creator>默欣</dc:creator>
  <cp:lastModifiedBy>默欣</cp:lastModifiedBy>
  <cp:lastPrinted>2025-09-09T02:03:02Z</cp:lastPrinted>
  <dcterms:modified xsi:type="dcterms:W3CDTF">2025-09-09T02:05:50Z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65106EE53BB34756A02CB0EB01631B01_11</vt:lpwstr>
  </property>
  <property fmtid="{D5CDD505-2E9C-101B-9397-08002B2CF9AE}" pid="4" name="KSOTemplateDocerSaveRecord">
    <vt:lpwstr>eyJoZGlkIjoiM2NkZDYyOTNkYjNhM2YzMTY0NDAxOGNmZTRhNDA2OWQiLCJ1c2VySWQiOiIyOTQxNDAyMjcifQ==</vt:lpwstr>
  </property>
</Properties>
</file>