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方正黑体_GBK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u w:val="none"/>
          <w:lang w:val="e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u w:val="none"/>
          <w:lang w:val="e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  <w:u w:val="none"/>
          <w:lang w:val="en-US" w:eastAsia="zh-CN"/>
        </w:rPr>
        <w:t>岳池县</w:t>
      </w:r>
      <w:r>
        <w:rPr>
          <w:rFonts w:hint="eastAsia" w:ascii="Times New Roman" w:hAnsi="Times New Roman" w:eastAsia="方正小标宋_GBK" w:cs="方正小标宋_GBK"/>
          <w:sz w:val="44"/>
          <w:szCs w:val="44"/>
          <w:u w:val="none"/>
          <w:lang w:val="en"/>
        </w:rPr>
        <w:t>推动大规模设备更新和消费品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u w:val="none"/>
          <w:lang w:val="e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u w:val="none"/>
          <w:lang w:val="en"/>
        </w:rPr>
        <w:t>以旧换新重点举措清单</w:t>
      </w:r>
    </w:p>
    <w:p>
      <w:pPr>
        <w:widowControl w:val="0"/>
        <w:spacing w:after="120"/>
        <w:ind w:left="640" w:leftChars="200" w:firstLine="4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u w:val="none"/>
          <w:lang w:val="en" w:eastAsia="zh-CN" w:bidi="ar-SA"/>
        </w:rPr>
      </w:pPr>
    </w:p>
    <w:tbl>
      <w:tblPr>
        <w:tblStyle w:val="5"/>
        <w:tblW w:w="5273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638"/>
        <w:gridCol w:w="3982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tblHeader/>
        </w:trPr>
        <w:tc>
          <w:tcPr>
            <w:tcW w:w="1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重点举措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一、实施重点领域设备更新行动</w:t>
            </w: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推动工业领域设备更新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推动更多项目纳入全省设备更新和回收循环利用重点项目库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制定《工业领域大规模设备更新和技术改造方案》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建立工业领域资源循环利用企业情况调查摸底表、设备更新供给清单、技术改造项目和设备更新需求清单、消费品生产供给清单（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一表三单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spacing w:val="-6"/>
                <w:sz w:val="24"/>
                <w:u w:val="none"/>
                <w:lang w:val="en-US" w:eastAsia="zh-CN" w:bidi="ar"/>
              </w:rPr>
              <w:t>建立设备更新改造服务机制和供需平台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县经济信息化局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结合我县实际，制定《矿产资源勘查开发领域大规模设备更新专项行动方案》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推动建筑和市政基础设施领域设备更新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制定《建筑和市政基础设施领域大规模设备更新专项行动方案》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县住房城乡建设局、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b w:val="0"/>
                <w:bCs w:val="0"/>
                <w:color w:val="auto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制定建筑领域节能降碳实施方案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建立分年度供水、供气、污水处理、既有住宅电梯增设、建筑施工、老旧住宅电梯等领域更新改造清单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建立城区建筑节能降碳改造数据库和项目库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建立年度重点公共区域和道路老旧视频监控设备更新改造清单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推动交通运输设施设备和老旧农业机械更新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制定《交通运输领域大规模设备更新专项行动方案》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县交通运输局、县发展改革局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1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制定《农业农村领域大规模设备更新专项行动方案》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推动教育文旅医疗设备更新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制定《教育领域大规模设备更新专项行动方案》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县教育科技和体育局、县发展改革局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制定《文化旅游和视听领域大规模设备更新专项行动方案》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县文化广电旅游局、县发展改革局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制定《医疗卫生领域大规模设备更新专项行动方案》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县卫生健康局、县发展改革局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二、实施主要消费品以旧换新行动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推动消费品以旧换新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制定《消费品以旧换新行动方案》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推动汽车以旧换新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联动汽车生产企业、新车二手车销售企业、金融机构等开展汽车以旧换新促销活动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通过简化流程、开辟绿色通道等方式，开展便利车主办理老旧车报废注销业务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推动家电产品以旧换新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支持家电企业联合生产企业、回收企业通过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乐购全川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”“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川货链全球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等市场活动平台开展以旧换新促销活动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加快培育家电售后服务领跑企业，提升家电售后服务水平，构建废旧家电回收网格服务体系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县商务局、县供销社、县财政局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推进绿色智能家电下乡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推动家装消费品换新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持续开展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宜居四川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·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焕新一夏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活动，推动智能家装等新型消费进商场、进社区、进平台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三、实施废弃物回收循环利用行动</w:t>
            </w: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构建废旧产品设备回收体系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换新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+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回收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物流体系和网络平台建设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县商务局、县供销社、县财政局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推进生活垃圾分类收运网络与再生资源回收网络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两网融合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”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县住房城乡建设局、县综合行政执法局、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县商务局、县供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推动二手商品流通交易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推进二手车登记服务站建设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推动废弃物资源化再利用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制定《加快构建废弃物循环利用体系实施方案》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制定再生资源回收循环利用专项行动方案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持续推动园区循环化改造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县发展改革局、县经济信息化局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推进现有再生资源加工利用项目绿色化、机械化、智能化提质改造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县发展改革局、县经济信息化局、县商务局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四、实施标准提升应用行动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推进重点领域标准提升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制定《以标准提升牵引大规模设备更新和消费品以旧换新行动工作方案》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推进重点领域标准衔接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鼓励县内企事业单位积极参与国际、国内标准制定修订工作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落实重点领域规范标准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强化各类标准的宣传推介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按照《四川省重点工业产品质量安全监管目录》，依法加强消费品质量安全监管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推广运用工业产品高质量发展绿色低碳评价认证，争取更多岳池绿色低碳名优特新产品纳入四川省专项目录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县市场监管局、广安市岳池生态环境局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五、强化政策要素保障</w:t>
            </w: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加大财政税收支持力度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积极争取中省预算内投资、超长期特别国债、专项债等政策支持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县发展改革局、县财政局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优化完善财政政策，统筹做好资金平衡，落实财政互动政策，加大财政资金对设备更新和消费品以旧换新的支持力度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严格落实税收优惠政策和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反向开票</w:t>
            </w:r>
            <w:r>
              <w:rPr>
                <w:rStyle w:val="7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hint="eastAsia" w:ascii="Times New Roman" w:hAnsi="Times New Roman" w:eastAsia="方正仿宋_GBK" w:cs="方正仿宋_GBK"/>
                <w:b w:val="0"/>
                <w:bCs w:val="0"/>
                <w:u w:val="none"/>
                <w:lang w:val="en-US" w:eastAsia="zh-CN" w:bidi="ar"/>
              </w:rPr>
              <w:t>措施，畅通增值税抵扣链条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加大金融支持力度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加强产业、财政、金融政策协同，及时梳理、审核和上报符合大规模设备更新条件的项目支持名单。引导金融机构对清单内项目开展融资对接，用好科技创新和技术改造再贷款政策工具，持续加大工商业节能降碳、工业智能化数字化转型、老旧农机具淘汰更新、交通运输、现代物流等领域设备更新和技术改造贷款投放力度，扩大制造业中长期贷款规模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县发展改革局、县财政局、国家金融监督管理总局岳池监管支局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引导银行机构合理增加绿色信贷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国家金融监督管理总局岳池监管支局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用好消费贷款贴息政策，优化金融产品服务供给，加强对绿色智能家电生产、服务和消费的金融支持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县财政局、国家金融监督管理总局岳池监管支局、县商务局</w:t>
            </w:r>
          </w:p>
        </w:tc>
      </w:tr>
    </w:tbl>
    <w:p>
      <w:pPr>
        <w:rPr>
          <w:b w:val="0"/>
          <w:bCs w:val="0"/>
          <w:u w:val="none"/>
        </w:rPr>
      </w:pPr>
    </w:p>
    <w:tbl>
      <w:tblPr>
        <w:tblStyle w:val="5"/>
        <w:tblW w:w="5273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638"/>
        <w:gridCol w:w="3982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1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重点举措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五、强化政策要素保障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强化要素保障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加强企业技术改造项目、资源回收利用设施用地用能等要素保障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县自然资源规划局、县发展改革局、县住房城乡建设局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加强创新支撑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eastAsia="方正仿宋_GBK" w:cs="方正仿宋_GBK"/>
                <w:b w:val="0"/>
                <w:bCs w:val="0"/>
                <w:color w:val="auto"/>
                <w:u w:val="none"/>
                <w:lang w:bidi="ar"/>
              </w:rPr>
              <w:t>争取落地一批省级科技计划项目，培育一批国家高新技术企业，促进重大技术设备迭代更新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县教育科技和体育局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2RhYmI4NzM4NjUyNjhhNTU1ZDBmYTBhYjQxNTgifQ=="/>
  </w:docVars>
  <w:rsids>
    <w:rsidRoot w:val="516C1307"/>
    <w:rsid w:val="197A3512"/>
    <w:rsid w:val="4A0D6821"/>
    <w:rsid w:val="516C1307"/>
    <w:rsid w:val="66146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2024-07-02T08:16:00Z</dcterms:created>
  <dc:creator>杨龙</dc:creator>
  <cp:lastModifiedBy>杨龙</cp:lastModifiedBy>
  <dcterms:modified xsi:type="dcterms:W3CDTF">2024-07-02T08:17:14Z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E920AA11275D4CB191B1453F9D5DBE9B_11</vt:lpwstr>
  </property>
</Properties>
</file>