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8DD3D">
      <w:pPr>
        <w:adjustRightInd w:val="0"/>
        <w:snapToGrid w:val="0"/>
        <w:spacing w:line="560" w:lineRule="exact"/>
        <w:jc w:val="center"/>
        <w:rPr>
          <w:rFonts w:hint="default" w:ascii="Times New Roman" w:hAnsi="Times New Roman" w:eastAsia="方正小标宋简体" w:cs="Times New Roman"/>
          <w:bCs/>
          <w:sz w:val="44"/>
          <w:szCs w:val="36"/>
          <w:lang w:val="en-US" w:eastAsia="zh-CN"/>
        </w:rPr>
      </w:pPr>
      <w:bookmarkStart w:id="65" w:name="_GoBack"/>
      <w:bookmarkEnd w:id="65"/>
      <w:r>
        <w:rPr>
          <w:rFonts w:hint="default" w:ascii="Times New Roman" w:hAnsi="Times New Roman" w:eastAsia="方正小标宋简体" w:cs="Times New Roman"/>
          <w:bCs/>
          <w:sz w:val="44"/>
          <w:szCs w:val="36"/>
          <w:lang w:val="en-US" w:eastAsia="zh-CN"/>
        </w:rPr>
        <w:t>2025年乡村振兴衔接资金-外出务工</w:t>
      </w:r>
    </w:p>
    <w:p w14:paraId="1FE367BF">
      <w:pPr>
        <w:adjustRightInd w:val="0"/>
        <w:snapToGrid w:val="0"/>
        <w:spacing w:line="560" w:lineRule="exact"/>
        <w:jc w:val="center"/>
        <w:rPr>
          <w:rFonts w:hint="default" w:ascii="Times New Roman" w:hAnsi="Times New Roman" w:cs="Times New Roman"/>
          <w:b/>
          <w:bCs/>
          <w:sz w:val="40"/>
          <w:szCs w:val="40"/>
        </w:rPr>
      </w:pPr>
      <w:r>
        <w:rPr>
          <w:rFonts w:hint="default" w:ascii="Times New Roman" w:hAnsi="Times New Roman" w:eastAsia="方正小标宋简体" w:cs="Times New Roman"/>
          <w:bCs/>
          <w:sz w:val="44"/>
          <w:szCs w:val="36"/>
          <w:lang w:val="en-US" w:eastAsia="zh-CN"/>
        </w:rPr>
        <w:t>交通补助项目</w:t>
      </w:r>
    </w:p>
    <w:p w14:paraId="19E04B9F">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sz w:val="32"/>
          <w:szCs w:val="32"/>
        </w:rPr>
      </w:pPr>
      <w:bookmarkStart w:id="0" w:name="_Toc3144"/>
      <w:r>
        <w:rPr>
          <w:rFonts w:hint="eastAsia"/>
          <w:sz w:val="32"/>
          <w:szCs w:val="32"/>
        </w:rPr>
        <w:t>一、项目基本情况</w:t>
      </w:r>
      <w:bookmarkEnd w:id="0"/>
    </w:p>
    <w:p w14:paraId="1E5C2E63">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lang w:val="en-US" w:eastAsia="zh-CN"/>
        </w:rPr>
      </w:pPr>
      <w:bookmarkStart w:id="1" w:name="_Toc23983"/>
      <w:r>
        <w:rPr>
          <w:rFonts w:hint="eastAsia" w:ascii="楷体_GB2312" w:hAnsi="楷体_GB2312" w:eastAsia="楷体_GB2312" w:cs="楷体_GB2312"/>
          <w:lang w:val="en-US" w:eastAsia="zh-CN"/>
        </w:rPr>
        <w:t>（一）</w:t>
      </w:r>
      <w:r>
        <w:rPr>
          <w:rFonts w:hint="eastAsia" w:ascii="Times New Roman" w:hAnsi="Times New Roman" w:eastAsia="楷体_GB2312" w:cs="Times New Roman"/>
          <w:b/>
          <w:szCs w:val="32"/>
          <w:lang w:val="en-US" w:eastAsia="zh-CN"/>
        </w:rPr>
        <w:t>项目</w:t>
      </w:r>
      <w:r>
        <w:rPr>
          <w:rFonts w:hint="eastAsia" w:eastAsia="楷体_GB2312" w:cs="Times New Roman"/>
          <w:b/>
          <w:szCs w:val="32"/>
          <w:lang w:val="en-US" w:eastAsia="zh-CN"/>
        </w:rPr>
        <w:t>背景</w:t>
      </w:r>
      <w:bookmarkEnd w:id="1"/>
    </w:p>
    <w:p w14:paraId="12C3BACB">
      <w:p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为全面贯彻党的二十大精神，深入学习贯彻习近平总书记关于“三农”工作的重要论述和对四川工作系列重要指示精神，认真落实中央和省委、省政府决策部署，2024年6月28日，中共四川省委农村工作领导小组印发《巩固拓展脱贫攻坚成果“1+8”工作方案》，把巩固拓展脱贫攻坚成果摆在更加突出位置，突出目标导向、问题导向、质量导向、结果导向，聚焦聚力问题整改，以增加脱贫群众收入为根本要求，以增强脱贫地区和脱贫群众内生发展动力为主攻方向，以脱贫地区夯基强本行动为主要抓手，全力攻坚、重点突破，高质量推进巩固拓展脱贫攻坚成果，坚决守住不发生规模性返贫底线，为加快推进乡村全面振兴奠定坚实基础。</w:t>
      </w:r>
    </w:p>
    <w:p w14:paraId="22AB9D38">
      <w:pPr>
        <w:adjustRightInd w:val="0"/>
        <w:snapToGrid w:val="0"/>
        <w:spacing w:line="560" w:lineRule="exact"/>
        <w:ind w:firstLine="640" w:firstLineChars="200"/>
        <w:rPr>
          <w:rFonts w:hint="eastAsia" w:cs="Times New Roman"/>
          <w:szCs w:val="32"/>
          <w:highlight w:val="yellow"/>
          <w:lang w:val="en-US" w:eastAsia="zh-CN"/>
        </w:rPr>
      </w:pPr>
      <w:r>
        <w:rPr>
          <w:rFonts w:hint="eastAsia" w:cs="Times New Roman"/>
          <w:szCs w:val="32"/>
          <w:lang w:val="en-US" w:eastAsia="zh-CN"/>
        </w:rPr>
        <w:t>《提升脱贫群众收入水平专项工作方案》明确，将促进务工就业助农增收作为重点工作之一。加大劳务输出力度，提高脱贫人口就业组织化程度，对跨省就业的脱贫人口，优化一次性交通补助申领程序、降低发放门槛，及时足额发放补助经费；对通过有组织劳务输出到户籍所在县以外就业的脱贫人口，</w:t>
      </w:r>
      <w:r>
        <w:rPr>
          <w:rFonts w:hint="eastAsia" w:cs="Times New Roman"/>
          <w:szCs w:val="32"/>
          <w:highlight w:val="none"/>
          <w:lang w:val="en-US" w:eastAsia="zh-CN"/>
        </w:rPr>
        <w:t>给予一次性外出务工交通补贴。</w:t>
      </w:r>
    </w:p>
    <w:p w14:paraId="22A0F5CC">
      <w:pPr>
        <w:adjustRightInd w:val="0"/>
        <w:snapToGrid w:val="0"/>
        <w:spacing w:line="560" w:lineRule="exact"/>
        <w:ind w:firstLine="640" w:firstLineChars="200"/>
        <w:rPr>
          <w:rFonts w:hint="eastAsia" w:ascii="Times New Roman" w:hAnsi="Times New Roman" w:cs="Times New Roman"/>
          <w:szCs w:val="32"/>
          <w:lang w:val="en-US" w:eastAsia="zh-CN"/>
        </w:rPr>
      </w:pPr>
      <w:r>
        <w:rPr>
          <w:rFonts w:hint="eastAsia" w:cs="Times New Roman"/>
          <w:szCs w:val="32"/>
          <w:lang w:val="en-US" w:eastAsia="zh-CN"/>
        </w:rPr>
        <w:t>2024年8月2日，四川省农业农村厅 四川省人力资源和社会保障厅 四川省财政厅《进一步加大脱贫人口跨区域务工就业交通补助力度促进脱贫群众就业增收的通知》（川农函〔2024〕378号），对补助对象、资金渠道、补助标准、补助程序进一步细化。对跨区域务工就业的脱贫人口，在县域外省域内、省外稳定务工就业3个月以上（含3个月</w:t>
      </w:r>
      <w:r>
        <w:rPr>
          <w:rFonts w:hint="default" w:cs="Times New Roman"/>
          <w:szCs w:val="32"/>
          <w:lang w:val="en-US" w:eastAsia="zh-CN"/>
        </w:rPr>
        <w:t>）</w:t>
      </w:r>
      <w:r>
        <w:rPr>
          <w:rFonts w:hint="eastAsia" w:cs="Times New Roman"/>
          <w:szCs w:val="32"/>
          <w:lang w:val="en-US" w:eastAsia="zh-CN"/>
        </w:rPr>
        <w:t>6个月以下的，分别给予200元和800元一次性交通补助；6个月以上（含6个月）的，分别给予400元和1200元一次性交通补助。</w:t>
      </w:r>
    </w:p>
    <w:p w14:paraId="06BDA9CF">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default" w:ascii="楷体_GB2312" w:hAnsi="楷体_GB2312" w:eastAsia="楷体_GB2312" w:cs="楷体_GB2312"/>
          <w:lang w:val="en-US" w:eastAsia="zh-CN"/>
        </w:rPr>
      </w:pPr>
      <w:bookmarkStart w:id="2" w:name="_Toc6325"/>
      <w:r>
        <w:rPr>
          <w:rFonts w:hint="eastAsia" w:ascii="楷体_GB2312" w:hAnsi="楷体_GB2312" w:eastAsia="楷体_GB2312" w:cs="楷体_GB2312"/>
          <w:lang w:val="en-US" w:eastAsia="zh-CN"/>
        </w:rPr>
        <w:t>（二）项目政策</w:t>
      </w:r>
      <w:bookmarkEnd w:id="2"/>
    </w:p>
    <w:p w14:paraId="7C2F010C">
      <w:p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2025年7月17日，岳池县农业农村局 岳池县人力资源和社会保障局《关于继续落实脱贫人口跨区域务工就业交通补助促进脱贫群众就业增收的通知》（岳农函〔2025〕123号）文件，进一步明确补助对象、资金渠道、补助标准、补助程序等事项。</w:t>
      </w:r>
    </w:p>
    <w:p w14:paraId="47ADFC96">
      <w:pPr>
        <w:numPr>
          <w:ilvl w:val="0"/>
          <w:numId w:val="0"/>
        </w:numPr>
        <w:adjustRightInd w:val="0"/>
        <w:snapToGrid w:val="0"/>
        <w:spacing w:line="560" w:lineRule="exact"/>
        <w:ind w:firstLine="643" w:firstLineChars="200"/>
        <w:rPr>
          <w:rFonts w:hint="eastAsia" w:cs="Times New Roman"/>
          <w:b/>
          <w:bCs/>
          <w:szCs w:val="32"/>
          <w:lang w:val="en-US" w:eastAsia="zh-CN"/>
        </w:rPr>
      </w:pPr>
      <w:r>
        <w:rPr>
          <w:rFonts w:hint="eastAsia" w:cs="Times New Roman"/>
          <w:b/>
          <w:bCs/>
          <w:szCs w:val="32"/>
          <w:lang w:val="en-US" w:eastAsia="zh-CN"/>
        </w:rPr>
        <w:t>1.补助对象</w:t>
      </w:r>
    </w:p>
    <w:p w14:paraId="7EFDCAD4">
      <w:pPr>
        <w:numPr>
          <w:ilvl w:val="0"/>
          <w:numId w:val="0"/>
        </w:num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进一步细化明确跨区域交通补助对象为当年跨区域务工的脱贫人口（含防止返贫监测对象）。</w:t>
      </w:r>
    </w:p>
    <w:p w14:paraId="57A2BC39">
      <w:pPr>
        <w:numPr>
          <w:ilvl w:val="0"/>
          <w:numId w:val="0"/>
        </w:numPr>
        <w:adjustRightInd w:val="0"/>
        <w:snapToGrid w:val="0"/>
        <w:spacing w:line="560" w:lineRule="exact"/>
        <w:ind w:firstLine="643" w:firstLineChars="200"/>
        <w:rPr>
          <w:rFonts w:hint="eastAsia" w:cs="Times New Roman"/>
          <w:b/>
          <w:bCs/>
          <w:szCs w:val="32"/>
          <w:lang w:val="en-US" w:eastAsia="zh-CN"/>
        </w:rPr>
      </w:pPr>
      <w:r>
        <w:rPr>
          <w:rFonts w:hint="eastAsia" w:cs="Times New Roman"/>
          <w:b/>
          <w:bCs/>
          <w:szCs w:val="32"/>
          <w:lang w:val="en-US" w:eastAsia="zh-CN"/>
        </w:rPr>
        <w:t>2.资金渠道</w:t>
      </w:r>
    </w:p>
    <w:p w14:paraId="069A3934">
      <w:pPr>
        <w:numPr>
          <w:ilvl w:val="0"/>
          <w:numId w:val="0"/>
        </w:num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跨省就业的一次性铁路、公路和水运（路）交通补助，可由中央和省级财政衔接推进乡村振兴补助资金安排；在县域外省域内就业的一次性铁路、公路和水运（路）交通补助，可由县级按规定统筹县级财政衔接推进乡村振兴补助资金、省内定点帮扶资金和其他资金等安排。</w:t>
      </w:r>
    </w:p>
    <w:p w14:paraId="0ED69C8F">
      <w:pPr>
        <w:numPr>
          <w:ilvl w:val="0"/>
          <w:numId w:val="0"/>
        </w:numPr>
        <w:adjustRightInd w:val="0"/>
        <w:snapToGrid w:val="0"/>
        <w:spacing w:line="560" w:lineRule="exact"/>
        <w:ind w:firstLine="643" w:firstLineChars="200"/>
        <w:rPr>
          <w:rFonts w:hint="eastAsia" w:cs="Times New Roman"/>
          <w:b/>
          <w:bCs/>
          <w:szCs w:val="32"/>
          <w:lang w:val="en-US" w:eastAsia="zh-CN"/>
        </w:rPr>
      </w:pPr>
      <w:r>
        <w:rPr>
          <w:rFonts w:hint="eastAsia" w:cs="Times New Roman"/>
          <w:b/>
          <w:bCs/>
          <w:szCs w:val="32"/>
          <w:lang w:val="en-US" w:eastAsia="zh-CN"/>
        </w:rPr>
        <w:t>3.补助标准</w:t>
      </w:r>
    </w:p>
    <w:p w14:paraId="51910433">
      <w:p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对跨区域务工就业的脱贫人口，在县域外省域内、省外稳定务工就业3个月以上（含3个月）6个月以下的，分别给予200元和800元一次性交通补助；6个月以上（含6个月）的分别给予400元和1200元一次性交通补助。</w:t>
      </w:r>
    </w:p>
    <w:p w14:paraId="405B1F65">
      <w:p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补助对象的务工开始时间从2025年1月算起，必须稳定达到3个月以上，原则上每人每年度只享受一次补助，同时满足县外省内、省外两种务工情况的，只能补助一种类型。</w:t>
      </w:r>
    </w:p>
    <w:p w14:paraId="29253E01">
      <w:pPr>
        <w:numPr>
          <w:ilvl w:val="0"/>
          <w:numId w:val="0"/>
        </w:numPr>
        <w:adjustRightInd w:val="0"/>
        <w:snapToGrid w:val="0"/>
        <w:spacing w:line="560" w:lineRule="exact"/>
        <w:ind w:firstLine="643" w:firstLineChars="200"/>
        <w:rPr>
          <w:rFonts w:hint="eastAsia" w:cs="Times New Roman"/>
          <w:b/>
          <w:bCs/>
          <w:szCs w:val="32"/>
          <w:lang w:val="en-US" w:eastAsia="zh-CN"/>
        </w:rPr>
      </w:pPr>
      <w:r>
        <w:rPr>
          <w:rFonts w:hint="eastAsia" w:cs="Times New Roman"/>
          <w:b/>
          <w:bCs/>
          <w:szCs w:val="32"/>
          <w:lang w:val="en-US" w:eastAsia="zh-CN"/>
        </w:rPr>
        <w:t>4.补助程序</w:t>
      </w:r>
    </w:p>
    <w:p w14:paraId="26D52E31">
      <w:pPr>
        <w:adjustRightInd w:val="0"/>
        <w:snapToGrid w:val="0"/>
        <w:spacing w:line="560" w:lineRule="exact"/>
        <w:ind w:firstLine="643" w:firstLineChars="200"/>
        <w:rPr>
          <w:rFonts w:hint="default" w:cs="Times New Roman"/>
          <w:szCs w:val="32"/>
          <w:lang w:val="en-US" w:eastAsia="zh-CN"/>
        </w:rPr>
      </w:pPr>
      <w:r>
        <w:rPr>
          <w:rFonts w:hint="eastAsia" w:cs="Times New Roman"/>
          <w:b/>
          <w:bCs/>
          <w:szCs w:val="32"/>
          <w:lang w:val="en-US" w:eastAsia="zh-CN"/>
        </w:rPr>
        <w:t>建立补助台账。</w:t>
      </w:r>
      <w:r>
        <w:rPr>
          <w:rFonts w:hint="eastAsia" w:cs="Times New Roman"/>
          <w:szCs w:val="32"/>
          <w:lang w:val="en-US" w:eastAsia="zh-CN"/>
        </w:rPr>
        <w:t>各乡镇依托全国防止返贫监测和衔接推进乡村振兴信息系统中的务工监测模块，核实脱贫人口外出务工实名制数据信息，形成拟发放补助人员名单。2025年原则上分三批发放，第一批为截至7月底稳定务工时间已满6个月的跨区域务工就业人员，第二批为截至9月底稳定务工时间满6个月的跨区域务工就业人员，第三批为截至12月底稳定务工时间满6个月或3个月的跨区域务工就业人员。</w:t>
      </w:r>
    </w:p>
    <w:p w14:paraId="153A3052">
      <w:pPr>
        <w:adjustRightInd w:val="0"/>
        <w:snapToGrid w:val="0"/>
        <w:spacing w:line="560" w:lineRule="exact"/>
        <w:ind w:firstLine="643" w:firstLineChars="200"/>
        <w:outlineLvl w:val="1"/>
        <w:rPr>
          <w:rFonts w:hint="eastAsia" w:cs="Times New Roman"/>
          <w:szCs w:val="32"/>
          <w:lang w:val="en-US" w:eastAsia="zh-CN"/>
        </w:rPr>
      </w:pPr>
      <w:bookmarkStart w:id="3" w:name="_Toc6881"/>
      <w:bookmarkStart w:id="4" w:name="_Toc2207"/>
      <w:r>
        <w:rPr>
          <w:rFonts w:hint="eastAsia" w:cs="Times New Roman"/>
          <w:b/>
          <w:bCs/>
          <w:szCs w:val="32"/>
          <w:lang w:val="en-US" w:eastAsia="zh-CN"/>
        </w:rPr>
        <w:t>核实补助名单。</w:t>
      </w:r>
      <w:r>
        <w:rPr>
          <w:rFonts w:hint="eastAsia" w:cs="Times New Roman"/>
          <w:szCs w:val="32"/>
          <w:lang w:val="en-US" w:eastAsia="zh-CN"/>
        </w:rPr>
        <w:t>各乡镇人民政府及时将拟发放补助人员名单反馈所辖村，由村干部、驻村工作队结合务工台账信息情况与所有外出务工对象户进行联系,宣传政策标准和工作要求，由对象户据实填写《岳池县务工信息户核实表》，并签字确认，同时提供务工相关佐证资料。资料包括企业出具的务工及收入证明、务工人员银行卡务工收入明细、务工合同、村委会出具的灵活就业及收入证明，以上佐证至少需要一种。各村同时对务工台账与实际情况不一致的信息进行更新，将符合补助标准的人员汇总填报拟发放务工交通补助人员台账。</w:t>
      </w:r>
      <w:bookmarkEnd w:id="3"/>
      <w:bookmarkEnd w:id="4"/>
    </w:p>
    <w:p w14:paraId="69B996AA">
      <w:pPr>
        <w:adjustRightInd w:val="0"/>
        <w:snapToGrid w:val="0"/>
        <w:spacing w:line="560" w:lineRule="exact"/>
        <w:ind w:firstLine="643" w:firstLineChars="200"/>
        <w:outlineLvl w:val="1"/>
        <w:rPr>
          <w:rFonts w:hint="eastAsia" w:cs="Times New Roman"/>
          <w:szCs w:val="32"/>
          <w:lang w:val="en-US" w:eastAsia="zh-CN"/>
        </w:rPr>
      </w:pPr>
      <w:bookmarkStart w:id="5" w:name="_Toc30676"/>
      <w:bookmarkStart w:id="6" w:name="_Toc9792"/>
      <w:r>
        <w:rPr>
          <w:rFonts w:hint="eastAsia" w:cs="Times New Roman"/>
          <w:b/>
          <w:bCs/>
          <w:szCs w:val="32"/>
          <w:lang w:val="en-US" w:eastAsia="zh-CN"/>
        </w:rPr>
        <w:t>公示补助名单。</w:t>
      </w:r>
      <w:r>
        <w:rPr>
          <w:rFonts w:hint="eastAsia" w:cs="Times New Roman"/>
          <w:szCs w:val="32"/>
          <w:lang w:val="en-US" w:eastAsia="zh-CN"/>
        </w:rPr>
        <w:t>各村委会核实汇总形成拟发放务工交通补助人员台账后并公示5天，无异议后报各乡镇（街道）进行审核。各乡镇（街道）审核后形成拟发放补助人员台账并公示2天后，第一批于7月25日前、第二批于9月25日前、第三批于12月25日前上报县农业农村局。</w:t>
      </w:r>
      <w:bookmarkEnd w:id="5"/>
      <w:bookmarkEnd w:id="6"/>
    </w:p>
    <w:p w14:paraId="323ADB0E">
      <w:pPr>
        <w:adjustRightInd w:val="0"/>
        <w:snapToGrid w:val="0"/>
        <w:spacing w:line="560" w:lineRule="exact"/>
        <w:ind w:firstLine="643" w:firstLineChars="200"/>
        <w:outlineLvl w:val="1"/>
        <w:rPr>
          <w:rFonts w:hint="eastAsia" w:ascii="Times New Roman" w:hAnsi="Times New Roman" w:cs="Times New Roman"/>
          <w:szCs w:val="32"/>
          <w:lang w:val="en-US" w:eastAsia="zh-CN"/>
        </w:rPr>
      </w:pPr>
      <w:bookmarkStart w:id="7" w:name="_Toc32519"/>
      <w:bookmarkStart w:id="8" w:name="_Toc17467"/>
      <w:r>
        <w:rPr>
          <w:rFonts w:hint="eastAsia" w:ascii="Times New Roman" w:hAnsi="Times New Roman" w:eastAsia="仿宋_GB2312" w:cs="Times New Roman"/>
          <w:b/>
          <w:bCs/>
          <w:kern w:val="2"/>
          <w:sz w:val="32"/>
          <w:szCs w:val="32"/>
          <w:lang w:val="en-US" w:eastAsia="zh-CN" w:bidi="ar-SA"/>
        </w:rPr>
        <w:t>及时兑现补助。</w:t>
      </w:r>
      <w:r>
        <w:rPr>
          <w:rFonts w:hint="eastAsia" w:ascii="Times New Roman" w:hAnsi="Times New Roman" w:cs="Times New Roman"/>
          <w:szCs w:val="32"/>
          <w:lang w:val="en-US" w:eastAsia="zh-CN"/>
        </w:rPr>
        <w:t>县农业农村局根据各乡镇</w:t>
      </w:r>
      <w:r>
        <w:rPr>
          <w:rFonts w:hint="eastAsia" w:cs="Times New Roman"/>
          <w:szCs w:val="32"/>
          <w:lang w:val="en-US" w:eastAsia="zh-CN"/>
        </w:rPr>
        <w:t>（</w:t>
      </w:r>
      <w:r>
        <w:rPr>
          <w:rFonts w:hint="eastAsia" w:ascii="Times New Roman" w:hAnsi="Times New Roman" w:cs="Times New Roman"/>
          <w:szCs w:val="32"/>
          <w:lang w:val="en-US" w:eastAsia="zh-CN"/>
        </w:rPr>
        <w:t>街道</w:t>
      </w:r>
      <w:r>
        <w:rPr>
          <w:rFonts w:hint="eastAsia" w:cs="Times New Roman"/>
          <w:szCs w:val="32"/>
          <w:lang w:val="en-US" w:eastAsia="zh-CN"/>
        </w:rPr>
        <w:t>）</w:t>
      </w:r>
      <w:r>
        <w:rPr>
          <w:rFonts w:hint="eastAsia" w:ascii="Times New Roman" w:hAnsi="Times New Roman" w:cs="Times New Roman"/>
          <w:szCs w:val="32"/>
          <w:lang w:val="en-US" w:eastAsia="zh-CN"/>
        </w:rPr>
        <w:t>的公示结果，审核汇总形成全县享受补助人员名单反馈至县人力资源社会保障局，县人力资源社会保障局会同县农业农村局、县财政局按照有关资金管理要求，向县政府申报项目、安排资金，及时将补助资金拨付至脱贫人口社保卡。</w:t>
      </w:r>
      <w:bookmarkEnd w:id="7"/>
      <w:bookmarkEnd w:id="8"/>
    </w:p>
    <w:p w14:paraId="1D6C5722">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9" w:name="_Toc30207"/>
      <w:r>
        <w:rPr>
          <w:rFonts w:hint="eastAsia" w:ascii="楷体_GB2312" w:hAnsi="楷体_GB2312" w:eastAsia="楷体_GB2312" w:cs="楷体_GB2312"/>
          <w:b/>
          <w:lang w:val="en-US" w:eastAsia="zh-CN"/>
        </w:rPr>
        <w:t>（三）项目实施情况</w:t>
      </w:r>
      <w:bookmarkEnd w:id="9"/>
    </w:p>
    <w:p w14:paraId="32DD579C">
      <w:pPr>
        <w:adjustRightInd w:val="0"/>
        <w:snapToGrid w:val="0"/>
        <w:spacing w:line="560" w:lineRule="exact"/>
        <w:ind w:firstLine="643" w:firstLineChars="200"/>
        <w:outlineLvl w:val="2"/>
        <w:rPr>
          <w:rFonts w:hint="eastAsia" w:ascii="Times New Roman" w:hAnsi="Times New Roman" w:eastAsia="楷体_GB2312" w:cs="Times New Roman"/>
          <w:b/>
          <w:bCs/>
          <w:szCs w:val="32"/>
          <w:lang w:val="en-US" w:eastAsia="zh-CN"/>
        </w:rPr>
      </w:pPr>
      <w:bookmarkStart w:id="10" w:name="_Toc13187"/>
      <w:r>
        <w:rPr>
          <w:rFonts w:hint="eastAsia" w:ascii="Times New Roman" w:hAnsi="Times New Roman" w:eastAsia="楷体_GB2312" w:cs="Times New Roman"/>
          <w:b/>
          <w:bCs/>
          <w:szCs w:val="32"/>
          <w:lang w:val="en-US" w:eastAsia="zh-CN"/>
        </w:rPr>
        <w:t>1.立项情况</w:t>
      </w:r>
      <w:bookmarkEnd w:id="10"/>
    </w:p>
    <w:p w14:paraId="30F1D924">
      <w:pPr>
        <w:snapToGrid w:val="0"/>
        <w:spacing w:line="600" w:lineRule="exact"/>
        <w:ind w:firstLine="640" w:firstLineChars="200"/>
        <w:rPr>
          <w:rFonts w:ascii="仿宋_GB2312" w:hAnsi="仿宋_GB2312" w:cs="仿宋_GB2312"/>
        </w:rPr>
      </w:pPr>
      <w:r>
        <w:rPr>
          <w:rFonts w:hint="eastAsia" w:cs="Times New Roman"/>
          <w:szCs w:val="32"/>
          <w:highlight w:val="none"/>
          <w:lang w:val="en-US" w:eastAsia="zh-CN"/>
        </w:rPr>
        <w:t>2025年4月10日，岳池县农业农村局将编制《岳池县2025年财政衔接推进乡村振兴补助资金项目实施方案（审议稿）》并向岳池县人民政府请示，申请外出务工交通补助资金，县政府常务会审议批准。</w:t>
      </w:r>
    </w:p>
    <w:p w14:paraId="68099CA4">
      <w:pPr>
        <w:adjustRightInd w:val="0"/>
        <w:snapToGrid w:val="0"/>
        <w:spacing w:line="560" w:lineRule="exact"/>
        <w:ind w:firstLine="643" w:firstLineChars="200"/>
        <w:outlineLvl w:val="2"/>
        <w:rPr>
          <w:rFonts w:hint="default" w:ascii="Times New Roman" w:hAnsi="Times New Roman" w:eastAsia="楷体_GB2312" w:cs="Times New Roman"/>
          <w:b/>
          <w:bCs/>
          <w:szCs w:val="32"/>
          <w:lang w:val="en-US" w:eastAsia="zh-CN"/>
        </w:rPr>
      </w:pPr>
      <w:r>
        <w:rPr>
          <w:rFonts w:hint="eastAsia" w:eastAsia="楷体_GB2312" w:cs="Times New Roman"/>
          <w:b/>
          <w:bCs/>
          <w:szCs w:val="32"/>
          <w:lang w:val="en-US" w:eastAsia="zh-CN"/>
        </w:rPr>
        <w:t>2</w:t>
      </w:r>
      <w:r>
        <w:rPr>
          <w:rFonts w:hint="eastAsia" w:ascii="Times New Roman" w:hAnsi="Times New Roman" w:eastAsia="楷体_GB2312" w:cs="Times New Roman"/>
          <w:b/>
          <w:bCs/>
          <w:szCs w:val="32"/>
          <w:lang w:val="en-US" w:eastAsia="zh-CN"/>
        </w:rPr>
        <w:t>.项目实施情况</w:t>
      </w:r>
    </w:p>
    <w:p w14:paraId="7F5EC1BE">
      <w:pPr>
        <w:adjustRightInd w:val="0"/>
        <w:snapToGrid w:val="0"/>
        <w:spacing w:line="560" w:lineRule="exact"/>
        <w:ind w:firstLine="640" w:firstLineChars="200"/>
        <w:outlineLvl w:val="2"/>
        <w:rPr>
          <w:rFonts w:hint="eastAsia" w:cs="Times New Roman"/>
          <w:szCs w:val="32"/>
          <w:lang w:val="en-US" w:eastAsia="zh-CN"/>
        </w:rPr>
      </w:pPr>
      <w:r>
        <w:rPr>
          <w:rFonts w:hint="eastAsia" w:cs="Times New Roman"/>
          <w:szCs w:val="32"/>
          <w:lang w:val="en-US" w:eastAsia="zh-CN"/>
        </w:rPr>
        <w:t>2025年，岳池县农业农村局对县辖27个乡镇（街道）4000人次进行核实，合计应补助480万元。</w:t>
      </w:r>
    </w:p>
    <w:p w14:paraId="23629D2F">
      <w:pPr>
        <w:adjustRightInd w:val="0"/>
        <w:snapToGrid w:val="0"/>
        <w:spacing w:line="560" w:lineRule="exact"/>
        <w:ind w:firstLine="643" w:firstLineChars="200"/>
        <w:outlineLvl w:val="2"/>
        <w:rPr>
          <w:rFonts w:hint="eastAsia" w:ascii="Times New Roman" w:hAnsi="Times New Roman" w:eastAsia="楷体_GB2312" w:cs="Times New Roman"/>
          <w:b/>
          <w:bCs/>
          <w:szCs w:val="32"/>
          <w:lang w:val="en-US" w:eastAsia="zh-CN"/>
        </w:rPr>
      </w:pPr>
      <w:r>
        <w:rPr>
          <w:rFonts w:hint="eastAsia" w:eastAsia="楷体_GB2312" w:cs="Times New Roman"/>
          <w:b/>
          <w:bCs/>
          <w:szCs w:val="32"/>
          <w:lang w:val="en-US" w:eastAsia="zh-CN"/>
        </w:rPr>
        <w:t>3.预算执行</w:t>
      </w:r>
      <w:r>
        <w:rPr>
          <w:rFonts w:hint="eastAsia" w:ascii="Times New Roman" w:hAnsi="Times New Roman" w:eastAsia="楷体_GB2312" w:cs="Times New Roman"/>
          <w:b/>
          <w:bCs/>
          <w:szCs w:val="32"/>
          <w:lang w:val="en-US" w:eastAsia="zh-CN"/>
        </w:rPr>
        <w:t>情况</w:t>
      </w:r>
    </w:p>
    <w:p w14:paraId="2E80DE97">
      <w:pPr>
        <w:snapToGrid w:val="0"/>
        <w:spacing w:line="600" w:lineRule="exact"/>
        <w:ind w:firstLine="640" w:firstLineChars="200"/>
        <w:rPr>
          <w:rFonts w:hint="default" w:cs="Times New Roman"/>
          <w:szCs w:val="32"/>
          <w:lang w:val="en-US" w:eastAsia="zh-CN"/>
        </w:rPr>
      </w:pPr>
      <w:r>
        <w:rPr>
          <w:rFonts w:hint="eastAsia" w:cs="Times New Roman"/>
          <w:szCs w:val="32"/>
          <w:highlight w:val="none"/>
          <w:lang w:val="en-US" w:eastAsia="zh-CN"/>
        </w:rPr>
        <w:t>项目</w:t>
      </w:r>
      <w:r>
        <w:rPr>
          <w:rFonts w:hint="eastAsia" w:ascii="Times New Roman" w:hAnsi="Times New Roman" w:cs="Times New Roman"/>
          <w:szCs w:val="32"/>
          <w:highlight w:val="none"/>
          <w:lang w:val="en-US" w:eastAsia="zh-CN"/>
        </w:rPr>
        <w:t>预算</w:t>
      </w:r>
      <w:r>
        <w:rPr>
          <w:rFonts w:hint="eastAsia" w:cs="Times New Roman"/>
          <w:szCs w:val="32"/>
          <w:highlight w:val="none"/>
          <w:lang w:val="en-US" w:eastAsia="zh-CN"/>
        </w:rPr>
        <w:t>480</w:t>
      </w:r>
      <w:r>
        <w:rPr>
          <w:rFonts w:hint="eastAsia" w:ascii="Times New Roman" w:hAnsi="Times New Roman" w:cs="Times New Roman"/>
          <w:szCs w:val="32"/>
          <w:highlight w:val="none"/>
          <w:lang w:val="en-US" w:eastAsia="zh-CN"/>
        </w:rPr>
        <w:t>万元，</w:t>
      </w:r>
      <w:r>
        <w:rPr>
          <w:rFonts w:hint="eastAsia" w:cs="Times New Roman"/>
          <w:szCs w:val="32"/>
          <w:highlight w:val="none"/>
          <w:lang w:val="en-US" w:eastAsia="zh-CN"/>
        </w:rPr>
        <w:t>截至2025年底，项目支出480</w:t>
      </w:r>
      <w:r>
        <w:rPr>
          <w:rFonts w:hint="eastAsia" w:ascii="Times New Roman" w:hAnsi="Times New Roman" w:cs="Times New Roman"/>
          <w:szCs w:val="32"/>
          <w:highlight w:val="none"/>
          <w:lang w:val="en-US" w:eastAsia="zh-CN"/>
        </w:rPr>
        <w:t>万元，预算执行率</w:t>
      </w:r>
      <w:r>
        <w:rPr>
          <w:rFonts w:hint="eastAsia" w:cs="Times New Roman"/>
          <w:szCs w:val="32"/>
          <w:highlight w:val="none"/>
          <w:lang w:val="en-US" w:eastAsia="zh-CN"/>
        </w:rPr>
        <w:t>100</w:t>
      </w:r>
      <w:r>
        <w:rPr>
          <w:rFonts w:hint="eastAsia" w:ascii="Times New Roman" w:hAnsi="Times New Roman" w:cs="Times New Roman"/>
          <w:szCs w:val="32"/>
          <w:highlight w:val="none"/>
          <w:lang w:val="en-US" w:eastAsia="zh-CN"/>
        </w:rPr>
        <w:t>%</w:t>
      </w:r>
      <w:r>
        <w:rPr>
          <w:rFonts w:hint="eastAsia" w:cs="Times New Roman"/>
          <w:szCs w:val="32"/>
          <w:highlight w:val="none"/>
          <w:lang w:val="en-US" w:eastAsia="zh-CN"/>
        </w:rPr>
        <w:t>。</w:t>
      </w:r>
    </w:p>
    <w:p w14:paraId="18242F68">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1" w:name="_Toc30542"/>
      <w:r>
        <w:rPr>
          <w:rFonts w:hint="eastAsia" w:ascii="楷体_GB2312" w:hAnsi="楷体_GB2312" w:eastAsia="楷体_GB2312" w:cs="楷体_GB2312"/>
          <w:b/>
          <w:lang w:val="en-US" w:eastAsia="zh-CN"/>
        </w:rPr>
        <w:t>（四）财政资金投入情况</w:t>
      </w:r>
      <w:bookmarkEnd w:id="11"/>
    </w:p>
    <w:p w14:paraId="1897CEC9">
      <w:pPr>
        <w:snapToGrid w:val="0"/>
        <w:spacing w:line="600" w:lineRule="exact"/>
        <w:ind w:firstLine="640" w:firstLineChars="200"/>
        <w:rPr>
          <w:rFonts w:hint="eastAsia" w:ascii="仿宋_GB2312" w:hAnsi="仿宋_GB2312" w:cs="仿宋_GB2312"/>
          <w:highlight w:val="green"/>
        </w:rPr>
      </w:pPr>
      <w:r>
        <w:rPr>
          <w:rFonts w:hint="eastAsia" w:ascii="Times New Roman" w:hAnsi="Times New Roman" w:cs="Times New Roman"/>
          <w:szCs w:val="32"/>
          <w:lang w:val="en-US" w:eastAsia="zh-CN"/>
        </w:rPr>
        <w:t>项目总资金量为</w:t>
      </w:r>
      <w:r>
        <w:rPr>
          <w:rFonts w:hint="eastAsia" w:cs="Times New Roman"/>
          <w:szCs w:val="32"/>
          <w:lang w:val="en-US" w:eastAsia="zh-CN"/>
        </w:rPr>
        <w:t>480</w:t>
      </w:r>
      <w:r>
        <w:rPr>
          <w:rFonts w:hint="eastAsia" w:ascii="Times New Roman" w:hAnsi="Times New Roman" w:cs="Times New Roman"/>
          <w:szCs w:val="32"/>
          <w:lang w:val="en-US" w:eastAsia="zh-CN"/>
        </w:rPr>
        <w:t>万元，</w:t>
      </w:r>
      <w:r>
        <w:rPr>
          <w:rFonts w:hint="eastAsia" w:cs="Times New Roman"/>
          <w:szCs w:val="32"/>
          <w:lang w:val="en-US" w:eastAsia="zh-CN"/>
        </w:rPr>
        <w:t>2025年支付项目资金量</w:t>
      </w:r>
      <w:r>
        <w:rPr>
          <w:rFonts w:hint="eastAsia" w:cs="Times New Roman"/>
          <w:szCs w:val="32"/>
          <w:highlight w:val="none"/>
          <w:lang w:val="en-US" w:eastAsia="zh-CN"/>
        </w:rPr>
        <w:t>480</w:t>
      </w:r>
      <w:r>
        <w:rPr>
          <w:rFonts w:hint="eastAsia" w:ascii="Times New Roman" w:hAnsi="Times New Roman" w:cs="Times New Roman"/>
          <w:szCs w:val="32"/>
          <w:highlight w:val="none"/>
          <w:lang w:val="en-US" w:eastAsia="zh-CN"/>
        </w:rPr>
        <w:t>万元</w:t>
      </w:r>
      <w:r>
        <w:rPr>
          <w:rFonts w:hint="eastAsia" w:ascii="Times New Roman" w:hAnsi="Times New Roman" w:cs="Times New Roman"/>
          <w:szCs w:val="32"/>
          <w:lang w:val="en-US" w:eastAsia="zh-CN"/>
        </w:rPr>
        <w:t>，涉及27个乡镇（街道）。评价组随机抽查西板镇、镇裕镇、花园镇3个乡镇，</w:t>
      </w:r>
      <w:r>
        <w:rPr>
          <w:rFonts w:hint="default" w:ascii="Times New Roman" w:hAnsi="Times New Roman" w:cs="Times New Roman"/>
          <w:szCs w:val="32"/>
          <w:lang w:val="zh-CN" w:eastAsia="zh-CN"/>
        </w:rPr>
        <w:t>占项目点位总量</w:t>
      </w:r>
      <w:r>
        <w:rPr>
          <w:rFonts w:hint="eastAsia" w:ascii="Times New Roman" w:hAnsi="Times New Roman" w:cs="Times New Roman"/>
          <w:szCs w:val="32"/>
          <w:lang w:val="en-US" w:eastAsia="zh-CN"/>
        </w:rPr>
        <w:t>11.11</w:t>
      </w:r>
      <w:r>
        <w:rPr>
          <w:rFonts w:hint="default" w:ascii="Times New Roman" w:hAnsi="Times New Roman" w:cs="Times New Roman"/>
          <w:szCs w:val="32"/>
          <w:lang w:val="zh-CN" w:eastAsia="zh-CN"/>
        </w:rPr>
        <w:t>%。</w:t>
      </w:r>
    </w:p>
    <w:p w14:paraId="2DAAA7ED">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2" w:name="_Toc23782"/>
      <w:r>
        <w:rPr>
          <w:rFonts w:hint="eastAsia" w:ascii="楷体_GB2312" w:hAnsi="楷体_GB2312" w:eastAsia="楷体_GB2312" w:cs="楷体_GB2312"/>
          <w:b/>
          <w:lang w:val="en-US" w:eastAsia="zh-CN"/>
        </w:rPr>
        <w:t>（五）项目绩效目标（</w:t>
      </w:r>
      <w:r>
        <w:rPr>
          <w:rFonts w:hint="eastAsia" w:ascii="Times New Roman" w:hAnsi="Times New Roman" w:eastAsia="仿宋_GB2312" w:cs="Times New Roman"/>
          <w:b w:val="0"/>
          <w:kern w:val="2"/>
          <w:sz w:val="32"/>
          <w:szCs w:val="32"/>
          <w:lang w:val="en-US" w:eastAsia="zh-CN" w:bidi="ar-SA"/>
        </w:rPr>
        <w:t>2025</w:t>
      </w:r>
      <w:r>
        <w:rPr>
          <w:rFonts w:hint="eastAsia" w:ascii="楷体_GB2312" w:hAnsi="楷体_GB2312" w:eastAsia="楷体_GB2312" w:cs="楷体_GB2312"/>
          <w:b/>
          <w:lang w:val="en-US" w:eastAsia="zh-CN"/>
        </w:rPr>
        <w:t>年）</w:t>
      </w:r>
      <w:bookmarkEnd w:id="12"/>
    </w:p>
    <w:tbl>
      <w:tblPr>
        <w:tblStyle w:val="15"/>
        <w:tblW w:w="8766" w:type="dxa"/>
        <w:tblInd w:w="0" w:type="dxa"/>
        <w:tblLayout w:type="fixed"/>
        <w:tblCellMar>
          <w:top w:w="0" w:type="dxa"/>
          <w:left w:w="108" w:type="dxa"/>
          <w:bottom w:w="0" w:type="dxa"/>
          <w:right w:w="108" w:type="dxa"/>
        </w:tblCellMar>
      </w:tblPr>
      <w:tblGrid>
        <w:gridCol w:w="2055"/>
        <w:gridCol w:w="1492"/>
        <w:gridCol w:w="3163"/>
        <w:gridCol w:w="2056"/>
      </w:tblGrid>
      <w:tr w14:paraId="34A77647">
        <w:tblPrEx>
          <w:tblCellMar>
            <w:top w:w="0" w:type="dxa"/>
            <w:left w:w="108" w:type="dxa"/>
            <w:bottom w:w="0" w:type="dxa"/>
            <w:right w:w="108" w:type="dxa"/>
          </w:tblCellMar>
        </w:tblPrEx>
        <w:trPr>
          <w:trHeight w:val="567" w:hRule="exac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9689">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年度目标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152A">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二级指标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7B2">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三级指标</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2E28">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指标值</w:t>
            </w:r>
          </w:p>
        </w:tc>
      </w:tr>
      <w:tr w14:paraId="67070DB6">
        <w:tblPrEx>
          <w:tblCellMar>
            <w:top w:w="0" w:type="dxa"/>
            <w:left w:w="108" w:type="dxa"/>
            <w:bottom w:w="0" w:type="dxa"/>
            <w:right w:w="108" w:type="dxa"/>
          </w:tblCellMar>
        </w:tblPrEx>
        <w:trPr>
          <w:trHeight w:val="567" w:hRule="exact"/>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994FB">
            <w:pPr>
              <w:widowControl/>
              <w:jc w:val="left"/>
              <w:textAlignment w:val="cente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对27000名（预计）外出务工的脱贫人口发放交通补助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382">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数量指标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3E5C">
            <w:pPr>
              <w:widowControl/>
              <w:jc w:val="center"/>
              <w:textAlignment w:val="cente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kern w:val="0"/>
                <w:sz w:val="21"/>
                <w:szCs w:val="21"/>
                <w:highlight w:val="none"/>
                <w:lang w:val="en-US" w:eastAsia="zh-CN" w:bidi="ar"/>
              </w:rPr>
              <w:t>补助外出务工的脱贫人口</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759">
            <w:pPr>
              <w:widowControl/>
              <w:jc w:val="center"/>
              <w:textAlignment w:val="cente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kern w:val="0"/>
                <w:sz w:val="21"/>
                <w:szCs w:val="21"/>
                <w:highlight w:val="none"/>
                <w:lang w:val="en-US" w:eastAsia="zh-CN" w:bidi="ar"/>
              </w:rPr>
              <w:t>4000人</w:t>
            </w:r>
          </w:p>
        </w:tc>
      </w:tr>
      <w:tr w14:paraId="2713AC10">
        <w:tblPrEx>
          <w:tblCellMar>
            <w:top w:w="0" w:type="dxa"/>
            <w:left w:w="108" w:type="dxa"/>
            <w:bottom w:w="0" w:type="dxa"/>
            <w:right w:w="108" w:type="dxa"/>
          </w:tblCellMar>
        </w:tblPrEx>
        <w:trPr>
          <w:trHeight w:val="639" w:hRule="exac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FEEF">
            <w:pPr>
              <w:jc w:val="center"/>
              <w:rPr>
                <w:rFonts w:ascii="仿宋_GB2312" w:hAnsi="仿宋_GB2312" w:cs="仿宋_GB2312"/>
                <w:color w:val="000000"/>
                <w:sz w:val="21"/>
                <w:szCs w:val="21"/>
                <w:highlight w:val="none"/>
              </w:rPr>
            </w:pPr>
          </w:p>
        </w:tc>
        <w:tc>
          <w:tcPr>
            <w:tcW w:w="1492" w:type="dxa"/>
            <w:vMerge w:val="restart"/>
            <w:tcBorders>
              <w:top w:val="single" w:color="000000" w:sz="4" w:space="0"/>
              <w:left w:val="single" w:color="000000" w:sz="4" w:space="0"/>
              <w:right w:val="single" w:color="000000" w:sz="4" w:space="0"/>
            </w:tcBorders>
            <w:shd w:val="clear" w:color="auto" w:fill="auto"/>
            <w:vAlign w:val="center"/>
          </w:tcPr>
          <w:p w14:paraId="36344307">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质量指标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2CB1">
            <w:pPr>
              <w:widowControl/>
              <w:jc w:val="center"/>
              <w:textAlignment w:val="cente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kern w:val="0"/>
                <w:sz w:val="21"/>
                <w:szCs w:val="21"/>
                <w:highlight w:val="none"/>
                <w:lang w:val="en-US" w:eastAsia="zh-CN" w:bidi="ar"/>
              </w:rPr>
              <w:t>补助对象是外出稳定务工3个月以上的脱贫人口</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52E0">
            <w:pPr>
              <w:widowControl/>
              <w:jc w:val="center"/>
              <w:textAlignment w:val="center"/>
              <w:rPr>
                <w:rFonts w:hint="default" w:ascii="仿宋_GB2312" w:hAnsi="仿宋_GB2312" w:cs="仿宋_GB2312"/>
                <w:color w:val="000000"/>
                <w:sz w:val="21"/>
                <w:szCs w:val="21"/>
                <w:highlight w:val="none"/>
                <w:lang w:val="en-US"/>
              </w:rPr>
            </w:pPr>
            <w:r>
              <w:rPr>
                <w:rFonts w:hint="eastAsia" w:ascii="仿宋_GB2312" w:hAnsi="仿宋_GB2312" w:cs="仿宋_GB2312"/>
                <w:color w:val="000000"/>
                <w:kern w:val="0"/>
                <w:sz w:val="21"/>
                <w:szCs w:val="21"/>
                <w:highlight w:val="none"/>
                <w:lang w:val="en-US" w:eastAsia="zh-CN" w:bidi="ar"/>
              </w:rPr>
              <w:t>100%</w:t>
            </w:r>
          </w:p>
        </w:tc>
      </w:tr>
      <w:tr w14:paraId="7A90A5BF">
        <w:tblPrEx>
          <w:tblCellMar>
            <w:top w:w="0" w:type="dxa"/>
            <w:left w:w="108" w:type="dxa"/>
            <w:bottom w:w="0" w:type="dxa"/>
            <w:right w:w="108" w:type="dxa"/>
          </w:tblCellMar>
        </w:tblPrEx>
        <w:trPr>
          <w:trHeight w:val="567" w:hRule="exac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B748">
            <w:pPr>
              <w:jc w:val="center"/>
              <w:rPr>
                <w:rFonts w:ascii="仿宋_GB2312" w:hAnsi="仿宋_GB2312" w:cs="仿宋_GB2312"/>
                <w:color w:val="000000"/>
                <w:sz w:val="21"/>
                <w:szCs w:val="21"/>
                <w:highlight w:val="none"/>
              </w:rPr>
            </w:pPr>
          </w:p>
        </w:tc>
        <w:tc>
          <w:tcPr>
            <w:tcW w:w="1492" w:type="dxa"/>
            <w:vMerge w:val="continue"/>
            <w:tcBorders>
              <w:left w:val="single" w:color="000000" w:sz="4" w:space="0"/>
              <w:bottom w:val="single" w:color="000000" w:sz="4" w:space="0"/>
              <w:right w:val="single" w:color="000000" w:sz="4" w:space="0"/>
            </w:tcBorders>
            <w:shd w:val="clear" w:color="auto" w:fill="auto"/>
            <w:vAlign w:val="center"/>
          </w:tcPr>
          <w:p w14:paraId="6246C55E">
            <w:pPr>
              <w:widowControl/>
              <w:jc w:val="center"/>
              <w:textAlignment w:val="center"/>
              <w:rPr>
                <w:rFonts w:hint="eastAsia" w:ascii="仿宋_GB2312" w:hAnsi="仿宋_GB2312" w:cs="仿宋_GB2312"/>
                <w:color w:val="000000"/>
                <w:kern w:val="0"/>
                <w:sz w:val="21"/>
                <w:szCs w:val="21"/>
                <w:highlight w:val="none"/>
                <w:lang w:bidi="ar"/>
              </w:rPr>
            </w:pP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B7B">
            <w:pPr>
              <w:widowControl/>
              <w:jc w:val="center"/>
              <w:textAlignment w:val="center"/>
              <w:rPr>
                <w:rFonts w:hint="default" w:ascii="仿宋_GB2312" w:hAnsi="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资助标准达标率</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6D66">
            <w:pPr>
              <w:widowControl/>
              <w:jc w:val="center"/>
              <w:textAlignment w:val="center"/>
              <w:rPr>
                <w:rFonts w:hint="eastAsia" w:ascii="仿宋_GB2312" w:hAnsi="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100%</w:t>
            </w:r>
          </w:p>
        </w:tc>
      </w:tr>
      <w:tr w14:paraId="5B6FF913">
        <w:tblPrEx>
          <w:tblCellMar>
            <w:top w:w="0" w:type="dxa"/>
            <w:left w:w="108" w:type="dxa"/>
            <w:bottom w:w="0" w:type="dxa"/>
            <w:right w:w="108" w:type="dxa"/>
          </w:tblCellMar>
        </w:tblPrEx>
        <w:trPr>
          <w:trHeight w:val="629" w:hRule="exac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188C">
            <w:pPr>
              <w:jc w:val="center"/>
              <w:rPr>
                <w:rFonts w:ascii="仿宋_GB2312" w:hAnsi="仿宋_GB2312" w:cs="仿宋_GB2312"/>
                <w:color w:val="000000"/>
                <w:sz w:val="21"/>
                <w:szCs w:val="21"/>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2946">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val="en-US" w:eastAsia="zh-CN" w:bidi="ar"/>
              </w:rPr>
              <w:t>时效指标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68AD">
            <w:pPr>
              <w:widowControl/>
              <w:jc w:val="center"/>
              <w:textAlignment w:val="center"/>
              <w:rPr>
                <w:rFonts w:hint="default" w:ascii="仿宋_GB2312" w:hAnsi="仿宋_GB2312" w:cs="仿宋_GB2312"/>
                <w:color w:val="000000"/>
                <w:sz w:val="21"/>
                <w:szCs w:val="21"/>
                <w:highlight w:val="none"/>
                <w:lang w:val="en-US"/>
              </w:rPr>
            </w:pPr>
            <w:r>
              <w:rPr>
                <w:rFonts w:hint="eastAsia" w:ascii="仿宋_GB2312" w:hAnsi="仿宋_GB2312" w:cs="仿宋_GB2312"/>
                <w:color w:val="000000"/>
                <w:kern w:val="0"/>
                <w:sz w:val="21"/>
                <w:szCs w:val="21"/>
                <w:highlight w:val="none"/>
                <w:lang w:val="en-US" w:eastAsia="zh-CN" w:bidi="ar"/>
              </w:rPr>
              <w:t>补助及时发放率</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A988">
            <w:pPr>
              <w:widowControl/>
              <w:jc w:val="center"/>
              <w:textAlignment w:val="cente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kern w:val="0"/>
                <w:sz w:val="21"/>
                <w:szCs w:val="21"/>
                <w:highlight w:val="none"/>
                <w:lang w:val="en-US" w:eastAsia="zh-CN" w:bidi="ar"/>
              </w:rPr>
              <w:t>≥98%</w:t>
            </w:r>
          </w:p>
        </w:tc>
      </w:tr>
      <w:tr w14:paraId="0F070D86">
        <w:tblPrEx>
          <w:tblCellMar>
            <w:top w:w="0" w:type="dxa"/>
            <w:left w:w="108" w:type="dxa"/>
            <w:bottom w:w="0" w:type="dxa"/>
            <w:right w:w="108" w:type="dxa"/>
          </w:tblCellMar>
        </w:tblPrEx>
        <w:trPr>
          <w:trHeight w:val="552" w:hRule="exac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C0CF">
            <w:pPr>
              <w:jc w:val="center"/>
              <w:rPr>
                <w:rFonts w:ascii="仿宋_GB2312" w:hAnsi="仿宋_GB2312" w:cs="仿宋_GB2312"/>
                <w:color w:val="000000"/>
                <w:sz w:val="21"/>
                <w:szCs w:val="21"/>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707E">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经济成本指标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98DB">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补助标准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3F4">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200/400/800/1200</w:t>
            </w:r>
          </w:p>
        </w:tc>
      </w:tr>
      <w:tr w14:paraId="2CD395E9">
        <w:tblPrEx>
          <w:tblCellMar>
            <w:top w:w="0" w:type="dxa"/>
            <w:left w:w="108" w:type="dxa"/>
            <w:bottom w:w="0" w:type="dxa"/>
            <w:right w:w="108" w:type="dxa"/>
          </w:tblCellMar>
        </w:tblPrEx>
        <w:trPr>
          <w:trHeight w:val="768" w:hRule="exac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A60A">
            <w:pPr>
              <w:jc w:val="center"/>
              <w:rPr>
                <w:rFonts w:ascii="仿宋_GB2312" w:hAnsi="仿宋_GB2312" w:cs="仿宋_GB2312"/>
                <w:color w:val="000000"/>
                <w:sz w:val="21"/>
                <w:szCs w:val="21"/>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8664">
            <w:pPr>
              <w:widowControl/>
              <w:jc w:val="center"/>
              <w:textAlignment w:val="center"/>
              <w:rPr>
                <w:rFonts w:hint="default" w:ascii="仿宋_GB2312" w:hAnsi="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社会效益指标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7B69">
            <w:pPr>
              <w:widowControl/>
              <w:jc w:val="center"/>
              <w:textAlignment w:val="center"/>
              <w:rPr>
                <w:rFonts w:hint="default" w:ascii="仿宋_GB2312" w:hAnsi="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达到补助标准，满足拨付条件的脱贫人口外出务工人员补助比例</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7378">
            <w:pPr>
              <w:widowControl/>
              <w:jc w:val="center"/>
              <w:textAlignment w:val="center"/>
              <w:rPr>
                <w:rFonts w:hint="default" w:ascii="仿宋_GB2312" w:hAnsi="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100%</w:t>
            </w:r>
          </w:p>
        </w:tc>
      </w:tr>
      <w:tr w14:paraId="67AD6906">
        <w:tblPrEx>
          <w:tblCellMar>
            <w:top w:w="0" w:type="dxa"/>
            <w:left w:w="108" w:type="dxa"/>
            <w:bottom w:w="0" w:type="dxa"/>
            <w:right w:w="108" w:type="dxa"/>
          </w:tblCellMar>
        </w:tblPrEx>
        <w:trPr>
          <w:trHeight w:val="596" w:hRule="exact"/>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590C">
            <w:pPr>
              <w:jc w:val="center"/>
              <w:rPr>
                <w:rFonts w:ascii="仿宋_GB2312" w:hAnsi="仿宋_GB2312" w:cs="仿宋_GB2312"/>
                <w:color w:val="000000"/>
                <w:sz w:val="21"/>
                <w:szCs w:val="21"/>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22D">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满意度指标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431">
            <w:pPr>
              <w:widowControl/>
              <w:jc w:val="center"/>
              <w:textAlignment w:val="center"/>
              <w:rPr>
                <w:rFonts w:hint="default" w:ascii="仿宋_GB2312" w:hAnsi="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受补助外出务工人员满意度</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C785">
            <w:pPr>
              <w:widowControl/>
              <w:jc w:val="center"/>
              <w:textAlignment w:val="center"/>
              <w:rPr>
                <w:rFonts w:hint="default" w:ascii="仿宋_GB2312" w:hAnsi="仿宋_GB2312" w:cs="仿宋_GB2312"/>
                <w:color w:val="000000"/>
                <w:kern w:val="0"/>
                <w:sz w:val="21"/>
                <w:szCs w:val="21"/>
                <w:highlight w:val="none"/>
                <w:lang w:val="en-US" w:eastAsia="zh-CN" w:bidi="ar"/>
              </w:rPr>
            </w:pPr>
            <w:r>
              <w:rPr>
                <w:rFonts w:hint="eastAsia" w:ascii="仿宋_GB2312" w:hAnsi="仿宋_GB2312" w:cs="仿宋_GB2312"/>
                <w:color w:val="000000"/>
                <w:kern w:val="0"/>
                <w:sz w:val="21"/>
                <w:szCs w:val="21"/>
                <w:highlight w:val="none"/>
                <w:lang w:val="en-US" w:eastAsia="zh-CN" w:bidi="ar"/>
              </w:rPr>
              <w:t>≥98%</w:t>
            </w:r>
          </w:p>
        </w:tc>
      </w:tr>
    </w:tbl>
    <w:p w14:paraId="5BA0C7DE">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宋体" w:hAnsi="宋体"/>
          <w:sz w:val="32"/>
          <w:szCs w:val="32"/>
        </w:rPr>
      </w:pPr>
      <w:bookmarkStart w:id="13" w:name="_Toc23300"/>
      <w:r>
        <w:rPr>
          <w:rFonts w:hint="eastAsia" w:ascii="宋体" w:hAnsi="宋体"/>
          <w:sz w:val="32"/>
          <w:szCs w:val="32"/>
        </w:rPr>
        <w:t>二、评价工作开展情况</w:t>
      </w:r>
      <w:bookmarkEnd w:id="13"/>
    </w:p>
    <w:p w14:paraId="6931928F">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4" w:name="_Toc20910"/>
      <w:r>
        <w:rPr>
          <w:rFonts w:hint="eastAsia" w:ascii="楷体_GB2312" w:hAnsi="楷体_GB2312" w:eastAsia="楷体_GB2312" w:cs="楷体_GB2312"/>
          <w:b/>
          <w:lang w:val="en-US" w:eastAsia="zh-CN"/>
        </w:rPr>
        <w:t>（一）评价目的</w:t>
      </w:r>
      <w:bookmarkEnd w:id="14"/>
    </w:p>
    <w:p w14:paraId="66E31C09">
      <w:pPr>
        <w:snapToGrid w:val="0"/>
        <w:spacing w:line="600" w:lineRule="exact"/>
        <w:ind w:firstLine="640" w:firstLineChars="200"/>
        <w:rPr>
          <w:rFonts w:ascii="仿宋_GB2312" w:hAnsi="仿宋_GB2312" w:cs="仿宋_GB2312"/>
        </w:rPr>
      </w:pPr>
      <w:r>
        <w:rPr>
          <w:rFonts w:hint="eastAsia" w:ascii="仿宋_GB2312" w:hAnsi="仿宋_GB2312" w:cs="仿宋_GB2312"/>
        </w:rPr>
        <w:t>本次评价依据设定的绩效评价操作规程，运用科学、合理的绩效评价方法，设置、选择合适的评价指标，反映项目在立项决策、过程管理方面的经验和不足，对财政预算资金的产出和效果进行客观、公正的评价，综合评价该项目绩效目标的实现程度以及项目实施的经济性、效率性、效益性。</w:t>
      </w:r>
    </w:p>
    <w:p w14:paraId="6FC13E6A">
      <w:pPr>
        <w:snapToGrid w:val="0"/>
        <w:spacing w:line="600" w:lineRule="exact"/>
        <w:ind w:firstLine="640" w:firstLineChars="200"/>
        <w:rPr>
          <w:rFonts w:ascii="仿宋_GB2312" w:hAnsi="仿宋_GB2312" w:cs="仿宋_GB2312"/>
        </w:rPr>
      </w:pPr>
      <w:r>
        <w:rPr>
          <w:rFonts w:hint="eastAsia" w:ascii="仿宋_GB2312" w:hAnsi="仿宋_GB2312" w:cs="仿宋_GB2312"/>
        </w:rPr>
        <w:t>通过综合性绩效考察，对该项目在决策、过程、产出和效益方面存在的不足提出整改建议，进一步增强预算单位绩效意识，优化财政资金配置，切实提高项目资金管理水平和使用效益。</w:t>
      </w:r>
    </w:p>
    <w:p w14:paraId="1E87F76C">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5" w:name="_Toc24976"/>
      <w:r>
        <w:rPr>
          <w:rFonts w:hint="eastAsia" w:ascii="楷体_GB2312" w:hAnsi="楷体_GB2312" w:eastAsia="楷体_GB2312" w:cs="楷体_GB2312"/>
          <w:b/>
          <w:lang w:val="en-US" w:eastAsia="zh-CN"/>
        </w:rPr>
        <w:t>（二）评价对象及范围</w:t>
      </w:r>
      <w:bookmarkEnd w:id="15"/>
    </w:p>
    <w:p w14:paraId="660D1686">
      <w:pPr>
        <w:snapToGrid w:val="0"/>
        <w:spacing w:line="600" w:lineRule="exact"/>
        <w:ind w:firstLine="640" w:firstLineChars="200"/>
        <w:rPr>
          <w:rFonts w:ascii="仿宋_GB2312" w:hAnsi="仿宋_GB2312" w:cs="仿宋_GB2312"/>
        </w:rPr>
      </w:pPr>
      <w:r>
        <w:rPr>
          <w:rFonts w:hint="eastAsia" w:ascii="仿宋_GB2312" w:hAnsi="仿宋_GB2312" w:cs="仿宋_GB2312"/>
        </w:rPr>
        <w:t>本次绩效评价对象为</w:t>
      </w:r>
      <w:r>
        <w:rPr>
          <w:rFonts w:hint="eastAsia" w:ascii="Times New Roman" w:hAnsi="Times New Roman" w:cs="Times New Roman"/>
          <w:szCs w:val="32"/>
          <w:lang w:val="en-US" w:eastAsia="zh-CN"/>
        </w:rPr>
        <w:t>2025年乡村振兴衔接资金-外出务工交通补助</w:t>
      </w:r>
      <w:r>
        <w:rPr>
          <w:rFonts w:hint="eastAsia" w:cs="Times New Roman"/>
          <w:szCs w:val="32"/>
          <w:lang w:val="en-US" w:eastAsia="zh-CN"/>
        </w:rPr>
        <w:t>（第五批）</w:t>
      </w:r>
      <w:r>
        <w:rPr>
          <w:rFonts w:hint="eastAsia" w:ascii="Times New Roman" w:hAnsi="Times New Roman" w:cs="Times New Roman"/>
          <w:szCs w:val="32"/>
          <w:lang w:val="en-US" w:eastAsia="zh-CN"/>
        </w:rPr>
        <w:t>项目</w:t>
      </w:r>
      <w:r>
        <w:rPr>
          <w:rFonts w:hint="eastAsia" w:ascii="仿宋_GB2312" w:hAnsi="仿宋_GB2312" w:cs="仿宋_GB2312"/>
        </w:rPr>
        <w:t>，涉及资金</w:t>
      </w:r>
      <w:r>
        <w:rPr>
          <w:rFonts w:hint="eastAsia" w:cs="Times New Roman"/>
          <w:szCs w:val="32"/>
          <w:lang w:val="en-US" w:eastAsia="zh-CN"/>
        </w:rPr>
        <w:t>480</w:t>
      </w:r>
      <w:r>
        <w:rPr>
          <w:rFonts w:hint="eastAsia" w:ascii="仿宋_GB2312" w:hAnsi="仿宋_GB2312" w:cs="仿宋_GB2312"/>
        </w:rPr>
        <w:t>万元。评价范围为：</w:t>
      </w:r>
    </w:p>
    <w:p w14:paraId="524C987B">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1.项目决策及绩效目标的设定情况，包含总体目标及产出目标；</w:t>
      </w:r>
    </w:p>
    <w:p w14:paraId="15033281">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2.项目实施单位对项目的组织、实施和管理情况；</w:t>
      </w:r>
    </w:p>
    <w:p w14:paraId="1DAB568F">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3.项目资金投入和使用情况；</w:t>
      </w:r>
    </w:p>
    <w:p w14:paraId="6507FDD2">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4.相关管理制度办法的健全性和执行情况；</w:t>
      </w:r>
    </w:p>
    <w:p w14:paraId="32B7479D">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5.项目资金绩效目标的实现程度及效果；</w:t>
      </w:r>
    </w:p>
    <w:p w14:paraId="6F7E33A2">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6.其他相关内容。</w:t>
      </w:r>
    </w:p>
    <w:p w14:paraId="2BB62547">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6" w:name="_Toc16760"/>
      <w:r>
        <w:rPr>
          <w:rFonts w:hint="eastAsia" w:ascii="楷体_GB2312" w:hAnsi="楷体_GB2312" w:eastAsia="楷体_GB2312" w:cs="楷体_GB2312"/>
          <w:b/>
          <w:lang w:val="en-US" w:eastAsia="zh-CN"/>
        </w:rPr>
        <w:t>（三）绩效评价原则</w:t>
      </w:r>
      <w:bookmarkEnd w:id="16"/>
    </w:p>
    <w:p w14:paraId="7E82779A">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1.科学规范原则。按照科学可行的原则，采取定量与定性相结合的评价方式，制定合理、可行的绩效评价指标体系，并组织实施绩效评价。</w:t>
      </w:r>
    </w:p>
    <w:p w14:paraId="1D6521EF">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2.结果导向原则。绩效评价指标体系设计、标准设定、方法选用以及具体实施，都以绩效目标的实现程度为准则。</w:t>
      </w:r>
    </w:p>
    <w:p w14:paraId="6E135D6E">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3.独立公平原则。评价机构作为独立第三方，以真实、客观、公正的要求完成此次绩效评价工作，并接受相关部门的监督。</w:t>
      </w:r>
    </w:p>
    <w:p w14:paraId="26DB7B42">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4.绩效相关原则。本次绩效评价工作紧扣“绩效”，评价结果反映支出与产出绩效之间的紧密对应关系，在以评“绩效”为主的情况下，同时适当延伸项目决策和项目管理。</w:t>
      </w:r>
    </w:p>
    <w:p w14:paraId="17BA22CA">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5.简便有效原则。本次绩效评价工作尽量简化工作程序，通过科学合理的工作方式与方法，在全面分析绩效材料、与委托单位和项目单位充分沟通的基础上，分析、评价财政资金支出绩效。在科学评价的同时，尽量不给被评价单位正常工作造成干扰，不增加工作负担，着力保障绩效评价工作本身的“绩效”。</w:t>
      </w:r>
    </w:p>
    <w:p w14:paraId="7FE1949E">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7" w:name="_Toc29064"/>
      <w:r>
        <w:rPr>
          <w:rFonts w:hint="eastAsia" w:ascii="楷体_GB2312" w:hAnsi="楷体_GB2312" w:eastAsia="楷体_GB2312" w:cs="楷体_GB2312"/>
          <w:b/>
          <w:lang w:val="en-US" w:eastAsia="zh-CN"/>
        </w:rPr>
        <w:t>（四）评价依据</w:t>
      </w:r>
      <w:bookmarkEnd w:id="17"/>
    </w:p>
    <w:p w14:paraId="39A52EF2">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1.中共中央 国务院印发《关于全面实施预算绩效管理的意见》</w:t>
      </w:r>
      <w:r>
        <w:rPr>
          <w:rFonts w:hint="eastAsia" w:cs="Times New Roman"/>
          <w:szCs w:val="32"/>
          <w:lang w:val="en-US" w:eastAsia="zh-CN"/>
        </w:rPr>
        <w:t>（</w:t>
      </w:r>
      <w:r>
        <w:rPr>
          <w:rFonts w:hint="eastAsia" w:ascii="Times New Roman" w:hAnsi="Times New Roman" w:cs="Times New Roman"/>
          <w:szCs w:val="32"/>
          <w:lang w:val="en-US" w:eastAsia="zh-CN"/>
        </w:rPr>
        <w:t>中发〔2018〕34号）；</w:t>
      </w:r>
    </w:p>
    <w:p w14:paraId="2BCAEABA">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2.中共四川省委 四川省人民政府印发《关于全面实施预算绩效管理的实施意见》</w:t>
      </w:r>
      <w:r>
        <w:rPr>
          <w:rFonts w:hint="eastAsia" w:cs="Times New Roman"/>
          <w:szCs w:val="32"/>
          <w:lang w:val="en-US" w:eastAsia="zh-CN"/>
        </w:rPr>
        <w:t>（</w:t>
      </w:r>
      <w:r>
        <w:rPr>
          <w:rFonts w:hint="eastAsia" w:ascii="Times New Roman" w:hAnsi="Times New Roman" w:cs="Times New Roman"/>
          <w:szCs w:val="32"/>
          <w:lang w:val="en-US" w:eastAsia="zh-CN"/>
        </w:rPr>
        <w:t>川委发〔2019〕8号）；</w:t>
      </w:r>
    </w:p>
    <w:p w14:paraId="05BC855B">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3.财政厅会同省纪委监委 省委组织部 审计厅共同制发《全省预算绩效管理工作推进方案》</w:t>
      </w:r>
      <w:r>
        <w:rPr>
          <w:rFonts w:hint="eastAsia" w:cs="Times New Roman"/>
          <w:szCs w:val="32"/>
          <w:lang w:val="en-US" w:eastAsia="zh-CN"/>
        </w:rPr>
        <w:t>（</w:t>
      </w:r>
      <w:r>
        <w:rPr>
          <w:rFonts w:hint="eastAsia" w:ascii="Times New Roman" w:hAnsi="Times New Roman" w:cs="Times New Roman"/>
          <w:szCs w:val="32"/>
          <w:lang w:val="en-US" w:eastAsia="zh-CN"/>
        </w:rPr>
        <w:t>川财〔2019〕68号</w:t>
      </w:r>
      <w:r>
        <w:rPr>
          <w:rFonts w:hint="eastAsia" w:cs="Times New Roman"/>
          <w:szCs w:val="32"/>
          <w:lang w:val="en-US" w:eastAsia="zh-CN"/>
        </w:rPr>
        <w:t>）</w:t>
      </w:r>
      <w:r>
        <w:rPr>
          <w:rFonts w:hint="eastAsia" w:ascii="Times New Roman" w:hAnsi="Times New Roman" w:cs="Times New Roman"/>
          <w:szCs w:val="32"/>
          <w:lang w:val="en-US" w:eastAsia="zh-CN"/>
        </w:rPr>
        <w:t>；</w:t>
      </w:r>
    </w:p>
    <w:p w14:paraId="0AC1D62F">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4.财政厅制发《四川省财政厅预算绩效管理工作实施方案》</w:t>
      </w:r>
      <w:r>
        <w:rPr>
          <w:rFonts w:hint="eastAsia" w:cs="Times New Roman"/>
          <w:szCs w:val="32"/>
          <w:lang w:val="en-US" w:eastAsia="zh-CN"/>
        </w:rPr>
        <w:t>（</w:t>
      </w:r>
      <w:r>
        <w:rPr>
          <w:rFonts w:hint="eastAsia" w:ascii="Times New Roman" w:hAnsi="Times New Roman" w:cs="Times New Roman"/>
          <w:szCs w:val="32"/>
          <w:lang w:val="en-US" w:eastAsia="zh-CN"/>
        </w:rPr>
        <w:t>川财办〔2019〕27号）；</w:t>
      </w:r>
    </w:p>
    <w:p w14:paraId="058D0502">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5.《四川省省级财政预算绩效结果与预算安排挂钩实施细则</w:t>
      </w:r>
      <w:r>
        <w:rPr>
          <w:rFonts w:hint="eastAsia" w:cs="Times New Roman"/>
          <w:szCs w:val="32"/>
          <w:lang w:val="en-US" w:eastAsia="zh-CN"/>
        </w:rPr>
        <w:t>（</w:t>
      </w:r>
      <w:r>
        <w:rPr>
          <w:rFonts w:hint="eastAsia" w:ascii="Times New Roman" w:hAnsi="Times New Roman" w:cs="Times New Roman"/>
          <w:szCs w:val="32"/>
          <w:lang w:val="en-US" w:eastAsia="zh-CN"/>
        </w:rPr>
        <w:t>试行）》</w:t>
      </w:r>
      <w:r>
        <w:rPr>
          <w:rFonts w:hint="eastAsia" w:cs="Times New Roman"/>
          <w:szCs w:val="32"/>
          <w:lang w:val="en-US" w:eastAsia="zh-CN"/>
        </w:rPr>
        <w:t>（</w:t>
      </w:r>
      <w:r>
        <w:rPr>
          <w:rFonts w:hint="eastAsia" w:ascii="Times New Roman" w:hAnsi="Times New Roman" w:cs="Times New Roman"/>
          <w:szCs w:val="32"/>
          <w:lang w:val="en-US" w:eastAsia="zh-CN"/>
        </w:rPr>
        <w:t>川财办〔2020〕53号）；</w:t>
      </w:r>
    </w:p>
    <w:p w14:paraId="3FD03197">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6.中共四川省委办公厅 四川省人民政府办公厅印发 《关于深入实施预算绩效管理的通知》</w:t>
      </w:r>
      <w:r>
        <w:rPr>
          <w:rFonts w:hint="eastAsia" w:cs="Times New Roman"/>
          <w:szCs w:val="32"/>
          <w:lang w:val="en-US" w:eastAsia="zh-CN"/>
        </w:rPr>
        <w:t>（</w:t>
      </w:r>
      <w:r>
        <w:rPr>
          <w:rFonts w:hint="eastAsia" w:ascii="Times New Roman" w:hAnsi="Times New Roman" w:cs="Times New Roman"/>
          <w:szCs w:val="32"/>
          <w:lang w:val="en-US" w:eastAsia="zh-CN"/>
        </w:rPr>
        <w:t>川委厅〔2020〕5号）；</w:t>
      </w:r>
    </w:p>
    <w:p w14:paraId="3FFE3514">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7.其他法律法规。</w:t>
      </w:r>
    </w:p>
    <w:p w14:paraId="0A6F757A">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8" w:name="_Toc13997"/>
      <w:r>
        <w:rPr>
          <w:rFonts w:hint="eastAsia" w:ascii="楷体_GB2312" w:hAnsi="楷体_GB2312" w:eastAsia="楷体_GB2312" w:cs="楷体_GB2312"/>
          <w:b/>
          <w:lang w:val="en-US" w:eastAsia="zh-CN"/>
        </w:rPr>
        <w:t>（五）绩效评价工作程序及方法</w:t>
      </w:r>
      <w:bookmarkEnd w:id="18"/>
    </w:p>
    <w:p w14:paraId="0F11A97F">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1.绩效评价工作程序</w:t>
      </w:r>
    </w:p>
    <w:p w14:paraId="1CFD341A">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本次绩效评价工作程序包括以下三个阶段：前期准备阶段、实施评价阶段、报告撰写阶段。各阶段具体进度安排如下：</w:t>
      </w:r>
    </w:p>
    <w:p w14:paraId="60E33090">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（1）评价准备阶段</w:t>
      </w:r>
    </w:p>
    <w:p w14:paraId="7BCFF11C">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①成立绩效评价工作组</w:t>
      </w:r>
    </w:p>
    <w:p w14:paraId="558D6A66">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成立由相关行业的专家和熟悉行业特点的工作成员组成的工作组，明确人员分工及工作职责。</w:t>
      </w:r>
    </w:p>
    <w:p w14:paraId="0DA549B8">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②现场预调研，了解项目基本情况</w:t>
      </w:r>
    </w:p>
    <w:p w14:paraId="6ECB7040">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评价工作组前往项目主管单位进行现场预调研，根据调研提纲内容，了解基本情况，搜集基本资料，包括项目背景、管理制度、资金管理、项目管理、绩效管理情况等。</w:t>
      </w:r>
    </w:p>
    <w:p w14:paraId="10862347">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③制定详细的工作方案</w:t>
      </w:r>
    </w:p>
    <w:p w14:paraId="58445424">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在调研了解项目基本情况的基础上，按照有关规定拟订详细的工作方案，并报委托方审核。实施方案包括人员配置及人员分工、工作进度及时间安排、评价依据、评价工作程序、评价方法、评价指标体系、实施步骤、评价质量控制措施及工作纪律等内容。同时，制定现场调研期间需要收集资料的相关工作底稿，如访谈提纲、资金收集信息表、现场调研资料清单等资料。</w:t>
      </w:r>
    </w:p>
    <w:p w14:paraId="0F5D0F38">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（2）实施评价阶段 </w:t>
      </w:r>
    </w:p>
    <w:p w14:paraId="6C823E21">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①现场调研</w:t>
      </w:r>
    </w:p>
    <w:p w14:paraId="70809B66">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评价方案确定后，组织评价小组主要成员参与现场调研，并在开展调研过程中修改评价方案中存在的不足。</w:t>
      </w:r>
    </w:p>
    <w:p w14:paraId="233C1E5D">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②细化评价指标体系</w:t>
      </w:r>
    </w:p>
    <w:p w14:paraId="1637242F">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结合现场调研过程中主管单位、项目单位提交的相关资料和信息，全面了解项目执行情况，对评价指标体系的合理性、可行性进一步完善并细化评价指标体系。在收到评价主体单位反馈意见后，抓紧与其积极协商，并确定最终的绩效评价指标体系。</w:t>
      </w:r>
    </w:p>
    <w:p w14:paraId="322E2C03">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③现场绩效评价</w:t>
      </w:r>
    </w:p>
    <w:p w14:paraId="22F6F6DD">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评价工作组进行现场调研，现场了解所涉及项目的总体情况和重点内容的具体情况，包括项目的组织落实情况、资金使用情况等，形成现场工作记录。同时，完成现场问卷调查回访工作。形成的工作底稿包括：调研计划安排、资料清单、调研访谈提纲、调查问卷、工作记录等，详见绩效评价工作方案的附件。</w:t>
      </w:r>
    </w:p>
    <w:p w14:paraId="5A50A18F">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④对项目资料汇总分析</w:t>
      </w:r>
    </w:p>
    <w:p w14:paraId="1AA486B3">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对收集的数据、文件、问卷资料进行核实和全面分析，对缺失的资料要求被评价单位及时补充，对重要的和存在疑问的基础数据资料进行核实确认，并以资料、访谈结果和调查问卷结果作为现场评价打分的依据。</w:t>
      </w:r>
    </w:p>
    <w:p w14:paraId="18431498">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（3）形成报告阶段</w:t>
      </w:r>
    </w:p>
    <w:p w14:paraId="13BC9667">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①整理、分析并复核项目资料</w:t>
      </w:r>
    </w:p>
    <w:p w14:paraId="6D57A824">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评价工作组对已有项目资料进行全面研读、整理、分析，并对绩效自评报告、调研所收集的资料、要求填写的数据信息表、调查问卷反馈的信息进行对比分析、复核，保证资料完整、真实，同时作为撰写绩效报告的支撑材料。</w:t>
      </w:r>
    </w:p>
    <w:p w14:paraId="62CDB09F">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②沟通初步评价意见并撰写评价报告初稿</w:t>
      </w:r>
    </w:p>
    <w:p w14:paraId="0FC28425">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在前期调研基础上，形成初步评价结果，包括：重点项目调研情况、问卷调查分析、各成员单位评价意见等。绩效评价报告初稿完成后，就报告中所反映的问题与项目单位、有关承担单位进行书面沟通，并要求相关单位及时反馈，同时将评价报告提交至委托方，就文本规范性征求意见。</w:t>
      </w:r>
    </w:p>
    <w:p w14:paraId="6067FA6A">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③报告定稿</w:t>
      </w:r>
    </w:p>
    <w:p w14:paraId="3FFFDDD5">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根据委托方意见修改报告，形成终稿，在规定时间内正式向委托方报送绩效评价报告。</w:t>
      </w:r>
    </w:p>
    <w:p w14:paraId="02CFC049">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④归集档案</w:t>
      </w:r>
    </w:p>
    <w:p w14:paraId="28E9B9A0">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2.绩效评价工作方法</w:t>
      </w:r>
    </w:p>
    <w:p w14:paraId="0394D9B8">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采用全面评价和重点评价相结合、现场评价和非现场评价相结合、定性和定量相结合的方式，并采取座谈询问、实地勘察、效益分析、调查问卷等多种方法开展评价。</w:t>
      </w:r>
    </w:p>
    <w:p w14:paraId="0450BB1D">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（1）座谈/访谈法。评价组与实施单位工作人员进行面对面访谈，全面了解项目执行与实施管理情况。</w:t>
      </w:r>
    </w:p>
    <w:p w14:paraId="1D7C99FD">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（2）效益分析法。专项资金投入跟产出是否匹配，是否经济合理，专项资金投入后取得了哪些实实在在的成果，对应的资金投入是否有偏差，重复投入或无效投入的情况是否存在。</w:t>
      </w:r>
    </w:p>
    <w:p w14:paraId="2FD336B1">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（3）现场核查法。通过对所选取点位进行现场核查，对资料的真实性、基础信息表数据真实性等进一步核查，修正基础信息表数据，发现绩效亮点和典型问题。</w:t>
      </w:r>
    </w:p>
    <w:p w14:paraId="124554C7">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（4）问卷调查法（公众评判法）。根据项目情况设计有针对性的调查问卷，对受益对象开展问卷调查，发现项目实施和管理过程中存在的问题、效益情况以及满意度等。</w:t>
      </w:r>
    </w:p>
    <w:p w14:paraId="0A56B1A3">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19" w:name="_Toc22834"/>
      <w:r>
        <w:rPr>
          <w:rFonts w:hint="eastAsia" w:ascii="楷体_GB2312" w:hAnsi="楷体_GB2312" w:eastAsia="楷体_GB2312" w:cs="楷体_GB2312"/>
          <w:b/>
          <w:lang w:val="en-US" w:eastAsia="zh-CN"/>
        </w:rPr>
        <w:t>（六）指标体系设计</w:t>
      </w:r>
      <w:bookmarkEnd w:id="19"/>
    </w:p>
    <w:p w14:paraId="7FCF5DDC">
      <w:pPr>
        <w:snapToGrid w:val="0"/>
        <w:spacing w:line="600" w:lineRule="exact"/>
        <w:ind w:firstLine="640" w:firstLineChars="200"/>
        <w:rPr>
          <w:rFonts w:hint="eastAsia" w:ascii="Times New Roman" w:hAnsi="Times New Roman" w:cs="Times New Roman"/>
          <w:szCs w:val="32"/>
        </w:rPr>
      </w:pPr>
      <w:r>
        <w:rPr>
          <w:rFonts w:hint="eastAsia" w:ascii="仿宋_GB2312" w:hAnsi="仿宋_GB2312" w:cs="仿宋_GB2312"/>
        </w:rPr>
        <w:t>根据</w:t>
      </w:r>
      <w:r>
        <w:rPr>
          <w:rFonts w:hint="eastAsia"/>
          <w:szCs w:val="32"/>
        </w:rPr>
        <w:t>《岳池县财政局</w:t>
      </w:r>
      <w:r>
        <w:rPr>
          <w:rFonts w:hint="eastAsia" w:ascii="Times New Roman" w:hAnsi="Times New Roman" w:cs="Times New Roman"/>
          <w:szCs w:val="32"/>
        </w:rPr>
        <w:t>关于开展2</w:t>
      </w:r>
      <w:r>
        <w:rPr>
          <w:rFonts w:hint="default" w:ascii="Times New Roman" w:hAnsi="Times New Roman" w:cs="Times New Roman"/>
          <w:szCs w:val="32"/>
        </w:rPr>
        <w:t>025</w:t>
      </w:r>
      <w:r>
        <w:rPr>
          <w:rFonts w:hint="eastAsia" w:ascii="Times New Roman" w:hAnsi="Times New Roman" w:cs="Times New Roman"/>
          <w:szCs w:val="32"/>
        </w:rPr>
        <w:t>年县级部门、项目支出重点绩效评价</w:t>
      </w:r>
      <w:r>
        <w:rPr>
          <w:rFonts w:hint="eastAsia" w:ascii="Times New Roman" w:hAnsi="Times New Roman" w:cs="Times New Roman"/>
          <w:szCs w:val="32"/>
          <w:lang w:eastAsia="zh-CN"/>
        </w:rPr>
        <w:t>和</w:t>
      </w:r>
      <w:r>
        <w:rPr>
          <w:rFonts w:hint="eastAsia" w:ascii="Times New Roman" w:hAnsi="Times New Roman" w:cs="Times New Roman"/>
          <w:szCs w:val="32"/>
          <w:lang w:val="en-US" w:eastAsia="zh-CN"/>
        </w:rPr>
        <w:t>2026年事前绩效评估</w:t>
      </w:r>
      <w:r>
        <w:rPr>
          <w:rFonts w:hint="eastAsia" w:ascii="Times New Roman" w:hAnsi="Times New Roman" w:cs="Times New Roman"/>
          <w:szCs w:val="32"/>
        </w:rPr>
        <w:t>工作的通知</w:t>
      </w:r>
      <w:r>
        <w:rPr>
          <w:rFonts w:hint="eastAsia"/>
          <w:szCs w:val="32"/>
        </w:rPr>
        <w:t>》（岳财发〔202</w:t>
      </w:r>
      <w:r>
        <w:rPr>
          <w:rFonts w:hint="eastAsia"/>
          <w:szCs w:val="32"/>
          <w:lang w:val="en-US" w:eastAsia="zh-CN"/>
        </w:rPr>
        <w:t>5</w:t>
      </w:r>
      <w:r>
        <w:rPr>
          <w:rFonts w:hint="eastAsia"/>
          <w:szCs w:val="32"/>
        </w:rPr>
        <w:t>〕5</w:t>
      </w:r>
      <w:r>
        <w:rPr>
          <w:rFonts w:hint="eastAsia"/>
          <w:szCs w:val="32"/>
          <w:lang w:val="en-US" w:eastAsia="zh-CN"/>
        </w:rPr>
        <w:t>6</w:t>
      </w:r>
      <w:r>
        <w:rPr>
          <w:rFonts w:hint="eastAsia"/>
          <w:szCs w:val="32"/>
        </w:rPr>
        <w:t>号）</w:t>
      </w:r>
      <w:r>
        <w:rPr>
          <w:rFonts w:hint="eastAsia" w:ascii="Times New Roman" w:hAnsi="Times New Roman" w:cs="Times New Roman"/>
          <w:szCs w:val="32"/>
        </w:rPr>
        <w:t>的指标体系框架，结合部门特点，在与专家组、项目单位充分协商的基础上，完善了绩效评价指标体系，评价指标体系总分值为100分，其中：项目决策</w:t>
      </w:r>
      <w:r>
        <w:rPr>
          <w:rFonts w:hint="eastAsia" w:ascii="Times New Roman" w:hAnsi="Times New Roman" w:cs="Times New Roman"/>
          <w:szCs w:val="32"/>
          <w:lang w:val="en-US" w:eastAsia="zh-CN"/>
        </w:rPr>
        <w:t>18</w:t>
      </w:r>
      <w:r>
        <w:rPr>
          <w:rFonts w:hint="eastAsia" w:ascii="Times New Roman" w:hAnsi="Times New Roman" w:cs="Times New Roman"/>
          <w:szCs w:val="32"/>
        </w:rPr>
        <w:t>分，项目</w:t>
      </w:r>
      <w:r>
        <w:rPr>
          <w:rFonts w:hint="eastAsia" w:ascii="Times New Roman" w:hAnsi="Times New Roman" w:cs="Times New Roman"/>
          <w:szCs w:val="32"/>
          <w:lang w:val="en-US" w:eastAsia="zh-CN"/>
        </w:rPr>
        <w:t>管理18</w:t>
      </w:r>
      <w:r>
        <w:rPr>
          <w:rFonts w:hint="eastAsia" w:ascii="Times New Roman" w:hAnsi="Times New Roman" w:cs="Times New Roman"/>
          <w:szCs w:val="32"/>
        </w:rPr>
        <w:t>分，</w:t>
      </w:r>
      <w:r>
        <w:rPr>
          <w:rFonts w:hint="eastAsia" w:ascii="Times New Roman" w:hAnsi="Times New Roman" w:cs="Times New Roman"/>
          <w:szCs w:val="32"/>
          <w:lang w:val="en-US" w:eastAsia="zh-CN"/>
        </w:rPr>
        <w:t>项目实施9分，项目</w:t>
      </w:r>
      <w:r>
        <w:rPr>
          <w:rFonts w:hint="eastAsia" w:ascii="Times New Roman" w:hAnsi="Times New Roman" w:cs="Times New Roman"/>
          <w:szCs w:val="32"/>
        </w:rPr>
        <w:t>结果</w:t>
      </w:r>
      <w:r>
        <w:rPr>
          <w:rFonts w:hint="eastAsia" w:ascii="Times New Roman" w:hAnsi="Times New Roman" w:cs="Times New Roman"/>
          <w:szCs w:val="32"/>
          <w:lang w:val="en-US" w:eastAsia="zh-CN"/>
        </w:rPr>
        <w:t>9</w:t>
      </w:r>
      <w:r>
        <w:rPr>
          <w:rFonts w:hint="eastAsia" w:ascii="Times New Roman" w:hAnsi="Times New Roman" w:cs="Times New Roman"/>
          <w:szCs w:val="32"/>
        </w:rPr>
        <w:t>分，</w:t>
      </w:r>
      <w:r>
        <w:rPr>
          <w:rFonts w:hint="eastAsia" w:ascii="Times New Roman" w:hAnsi="Times New Roman" w:cs="Times New Roman"/>
          <w:szCs w:val="32"/>
          <w:lang w:val="en-US" w:eastAsia="zh-CN"/>
        </w:rPr>
        <w:t>专用指标30</w:t>
      </w:r>
      <w:r>
        <w:rPr>
          <w:rFonts w:hint="eastAsia" w:ascii="Times New Roman" w:hAnsi="Times New Roman" w:cs="Times New Roman"/>
          <w:szCs w:val="32"/>
        </w:rPr>
        <w:t>分，个性指标1</w:t>
      </w:r>
      <w:r>
        <w:rPr>
          <w:rFonts w:hint="eastAsia" w:ascii="Times New Roman" w:hAnsi="Times New Roman" w:cs="Times New Roman"/>
          <w:szCs w:val="32"/>
          <w:lang w:val="en-US" w:eastAsia="zh-CN"/>
        </w:rPr>
        <w:t>6</w:t>
      </w:r>
      <w:r>
        <w:rPr>
          <w:rFonts w:hint="eastAsia" w:ascii="Times New Roman" w:hAnsi="Times New Roman" w:cs="Times New Roman"/>
          <w:szCs w:val="32"/>
        </w:rPr>
        <w:t>分。绩效评价结果分为4个等级：</w:t>
      </w:r>
    </w:p>
    <w:p w14:paraId="2AF396D8">
      <w:pPr>
        <w:snapToGrid w:val="0"/>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综合得分90（含）-100为优；</w:t>
      </w:r>
    </w:p>
    <w:p w14:paraId="0E8A474D">
      <w:pPr>
        <w:snapToGrid w:val="0"/>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综合得分80（含）-90为良；</w:t>
      </w:r>
    </w:p>
    <w:p w14:paraId="10B2B3CE">
      <w:pPr>
        <w:snapToGrid w:val="0"/>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综合得分60（含）-80为中；</w:t>
      </w:r>
    </w:p>
    <w:p w14:paraId="74D1F66A">
      <w:pPr>
        <w:snapToGrid w:val="0"/>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综合得分60分以下为差。</w:t>
      </w:r>
    </w:p>
    <w:p w14:paraId="6E5252F2">
      <w:pPr>
        <w:snapToGrid w:val="0"/>
        <w:spacing w:line="600" w:lineRule="exact"/>
        <w:ind w:firstLine="640" w:firstLineChars="200"/>
        <w:rPr>
          <w:rFonts w:ascii="仿宋_GB2312" w:hAnsi="仿宋_GB2312" w:cs="仿宋_GB2312"/>
        </w:rPr>
      </w:pPr>
      <w:r>
        <w:rPr>
          <w:rFonts w:hint="eastAsia" w:ascii="仿宋_GB2312" w:hAnsi="仿宋_GB2312" w:cs="仿宋_GB2312"/>
        </w:rPr>
        <w:t>根据《专项预算项目绩效评价指标体系》及绩效评价工作相关管理办法，结合专项资金属性及资金使用的具体情况，在县级财政支出项目绩效评价指标表的基础上，对效果性指标的具体指标内容和评分标准进行了选设和调整，形成了</w:t>
      </w:r>
      <w:r>
        <w:rPr>
          <w:rFonts w:hint="eastAsia" w:ascii="Times New Roman" w:hAnsi="Times New Roman" w:cs="Times New Roman"/>
          <w:szCs w:val="32"/>
          <w:lang w:val="en-US" w:eastAsia="zh-CN"/>
        </w:rPr>
        <w:t>2025年乡村振兴衔接资金-外出务工交通补助</w:t>
      </w:r>
      <w:r>
        <w:rPr>
          <w:rFonts w:hint="eastAsia" w:cs="Times New Roman"/>
          <w:szCs w:val="32"/>
          <w:lang w:val="en-US" w:eastAsia="zh-CN"/>
        </w:rPr>
        <w:t>（第五批）</w:t>
      </w:r>
      <w:r>
        <w:rPr>
          <w:rFonts w:hint="eastAsia" w:ascii="Times New Roman" w:hAnsi="Times New Roman" w:cs="Times New Roman"/>
          <w:szCs w:val="32"/>
          <w:lang w:val="en-US" w:eastAsia="zh-CN"/>
        </w:rPr>
        <w:t>项目</w:t>
      </w:r>
      <w:r>
        <w:rPr>
          <w:rFonts w:hint="eastAsia" w:ascii="仿宋_GB2312" w:hAnsi="仿宋_GB2312" w:cs="仿宋_GB2312"/>
        </w:rPr>
        <w:t>绩效评价指标体系。详细指标体系见“附表一”。</w:t>
      </w:r>
    </w:p>
    <w:p w14:paraId="47696F10">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20" w:name="_Toc1526"/>
      <w:r>
        <w:rPr>
          <w:rFonts w:hint="eastAsia" w:ascii="楷体_GB2312" w:hAnsi="楷体_GB2312" w:eastAsia="楷体_GB2312" w:cs="楷体_GB2312"/>
          <w:b/>
          <w:lang w:val="en-US" w:eastAsia="zh-CN"/>
        </w:rPr>
        <w:t>（七）评价人员组织</w:t>
      </w:r>
      <w:bookmarkEnd w:id="20"/>
    </w:p>
    <w:p w14:paraId="726FB6E3">
      <w:pPr>
        <w:snapToGrid w:val="0"/>
        <w:spacing w:line="600" w:lineRule="exact"/>
        <w:ind w:firstLine="640" w:firstLineChars="200"/>
        <w:rPr>
          <w:rFonts w:ascii="仿宋_GB2312" w:hAnsi="仿宋_GB2312" w:cs="仿宋_GB2312"/>
        </w:rPr>
      </w:pPr>
      <w:r>
        <w:rPr>
          <w:rFonts w:hint="eastAsia" w:ascii="仿宋_GB2312" w:hAnsi="仿宋_GB2312" w:cs="仿宋_GB2312"/>
        </w:rPr>
        <w:t>四川荣达会计师事务所有限责任公司接受</w:t>
      </w:r>
      <w:r>
        <w:rPr>
          <w:rFonts w:hint="eastAsia" w:ascii="仿宋_GB2312" w:hAnsi="仿宋_GB2312" w:cs="仿宋_GB2312"/>
          <w:lang w:val="en-US" w:eastAsia="zh-CN"/>
        </w:rPr>
        <w:t>岳池</w:t>
      </w:r>
      <w:r>
        <w:rPr>
          <w:rFonts w:hint="eastAsia" w:ascii="仿宋_GB2312" w:hAnsi="仿宋_GB2312" w:cs="仿宋_GB2312"/>
        </w:rPr>
        <w:t>县财政局委托，作为第三方绩效评价机构，选派相关专业人员组成绩效评价工作小组，对</w:t>
      </w:r>
      <w:r>
        <w:rPr>
          <w:rFonts w:hint="eastAsia" w:ascii="Times New Roman" w:hAnsi="Times New Roman" w:cs="Times New Roman"/>
          <w:szCs w:val="32"/>
          <w:lang w:val="en-US" w:eastAsia="zh-CN"/>
        </w:rPr>
        <w:t>2025年</w:t>
      </w:r>
      <w:r>
        <w:rPr>
          <w:rFonts w:hint="eastAsia" w:ascii="仿宋_GB2312" w:hAnsi="仿宋_GB2312" w:cs="仿宋_GB2312"/>
          <w:lang w:val="en-US" w:eastAsia="zh-CN"/>
        </w:rPr>
        <w:t>乡村振兴衔接资金-外出务工交通补助（第五批）项目</w:t>
      </w:r>
      <w:r>
        <w:rPr>
          <w:rFonts w:hint="eastAsia" w:ascii="仿宋_GB2312" w:hAnsi="仿宋_GB2312" w:cs="仿宋_GB2312"/>
        </w:rPr>
        <w:t>开展绩效评价的相关评价工作。</w:t>
      </w:r>
    </w:p>
    <w:p w14:paraId="50659B43">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21" w:name="_Toc17443"/>
      <w:r>
        <w:rPr>
          <w:rFonts w:hint="eastAsia" w:ascii="楷体_GB2312" w:hAnsi="楷体_GB2312" w:eastAsia="楷体_GB2312" w:cs="楷体_GB2312"/>
          <w:b/>
          <w:lang w:val="en-US" w:eastAsia="zh-CN"/>
        </w:rPr>
        <w:t>（八）主管部门绩效自评工作开展及配合情况</w:t>
      </w:r>
      <w:bookmarkEnd w:id="21"/>
    </w:p>
    <w:p w14:paraId="1A5B3A3D">
      <w:pPr>
        <w:snapToGrid w:val="0"/>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highlight w:val="none"/>
          <w:lang w:val="en-US" w:eastAsia="zh-CN"/>
        </w:rPr>
        <w:t>岳池县农业农村局在2025年</w:t>
      </w:r>
      <w:r>
        <w:rPr>
          <w:rFonts w:hint="eastAsia" w:cs="Times New Roman"/>
          <w:szCs w:val="32"/>
          <w:lang w:val="en-US" w:eastAsia="zh-CN"/>
        </w:rPr>
        <w:t>外出务工交通补助（第五批）项目绩</w:t>
      </w:r>
      <w:r>
        <w:rPr>
          <w:rFonts w:hint="eastAsia" w:ascii="Times New Roman" w:hAnsi="Times New Roman" w:cs="Times New Roman"/>
          <w:szCs w:val="32"/>
          <w:highlight w:val="none"/>
          <w:lang w:val="en-US" w:eastAsia="zh-CN"/>
        </w:rPr>
        <w:t>效自评工作中，已按要求完成《</w:t>
      </w:r>
      <w:r>
        <w:rPr>
          <w:rFonts w:hint="eastAsia" w:cs="Times New Roman"/>
          <w:szCs w:val="32"/>
          <w:highlight w:val="none"/>
          <w:lang w:val="en-US" w:eastAsia="zh-CN"/>
        </w:rPr>
        <w:t>绩效目标</w:t>
      </w:r>
      <w:r>
        <w:rPr>
          <w:rFonts w:hint="eastAsia" w:ascii="Times New Roman" w:hAnsi="Times New Roman" w:cs="Times New Roman"/>
          <w:szCs w:val="32"/>
          <w:highlight w:val="none"/>
          <w:lang w:val="en-US" w:eastAsia="zh-CN"/>
        </w:rPr>
        <w:t>自评表》的填报</w:t>
      </w:r>
      <w:r>
        <w:rPr>
          <w:rFonts w:hint="eastAsia"/>
          <w:highlight w:val="none"/>
          <w:lang w:val="en-US" w:eastAsia="zh-CN"/>
        </w:rPr>
        <w:t>和自评报告</w:t>
      </w:r>
      <w:r>
        <w:rPr>
          <w:rFonts w:hint="eastAsia" w:cs="Times New Roman"/>
          <w:szCs w:val="32"/>
          <w:highlight w:val="none"/>
          <w:lang w:val="en-US" w:eastAsia="zh-CN"/>
        </w:rPr>
        <w:t>。</w:t>
      </w:r>
    </w:p>
    <w:p w14:paraId="6D04137E">
      <w:pPr>
        <w:snapToGrid w:val="0"/>
        <w:spacing w:line="600" w:lineRule="exact"/>
        <w:ind w:firstLine="640" w:firstLineChars="200"/>
        <w:rPr>
          <w:rFonts w:ascii="仿宋_GB2312" w:hAnsi="仿宋_GB2312" w:cs="仿宋_GB2312"/>
        </w:rPr>
      </w:pPr>
      <w:r>
        <w:rPr>
          <w:rFonts w:hint="eastAsia" w:ascii="Times New Roman" w:hAnsi="Times New Roman" w:cs="Times New Roman"/>
          <w:szCs w:val="32"/>
          <w:highlight w:val="none"/>
          <w:lang w:val="en-US" w:eastAsia="zh-CN"/>
        </w:rPr>
        <w:t>评价组于202</w:t>
      </w:r>
      <w:r>
        <w:rPr>
          <w:rFonts w:hint="eastAsia" w:cs="Times New Roman"/>
          <w:szCs w:val="32"/>
          <w:highlight w:val="none"/>
          <w:lang w:val="en-US" w:eastAsia="zh-CN"/>
        </w:rPr>
        <w:t>5</w:t>
      </w:r>
      <w:r>
        <w:rPr>
          <w:rFonts w:hint="eastAsia" w:ascii="Times New Roman" w:hAnsi="Times New Roman" w:cs="Times New Roman"/>
          <w:szCs w:val="32"/>
          <w:highlight w:val="none"/>
          <w:lang w:val="en-US" w:eastAsia="zh-CN"/>
        </w:rPr>
        <w:t>年1</w:t>
      </w:r>
      <w:r>
        <w:rPr>
          <w:rFonts w:hint="eastAsia" w:cs="Times New Roman"/>
          <w:szCs w:val="32"/>
          <w:highlight w:val="none"/>
          <w:lang w:val="en-US" w:eastAsia="zh-CN"/>
        </w:rPr>
        <w:t>2</w:t>
      </w:r>
      <w:r>
        <w:rPr>
          <w:rFonts w:hint="eastAsia" w:ascii="Times New Roman" w:hAnsi="Times New Roman" w:cs="Times New Roman"/>
          <w:szCs w:val="32"/>
          <w:highlight w:val="none"/>
          <w:lang w:val="en-US" w:eastAsia="zh-CN"/>
        </w:rPr>
        <w:t>月对该项目开展绩效评价工作，部门安排专人对接工作，在评价过程中，为评价组人员答疑解惑，积极提供相关需补充资料。</w:t>
      </w:r>
    </w:p>
    <w:p w14:paraId="2EBA22CD">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22" w:name="_Toc30682"/>
      <w:r>
        <w:rPr>
          <w:rFonts w:hint="eastAsia" w:ascii="楷体_GB2312" w:hAnsi="楷体_GB2312" w:eastAsia="楷体_GB2312" w:cs="楷体_GB2312"/>
          <w:b/>
          <w:lang w:val="en-US" w:eastAsia="zh-CN"/>
        </w:rPr>
        <w:t>（九）基础数据表</w:t>
      </w:r>
      <w:bookmarkEnd w:id="22"/>
    </w:p>
    <w:p w14:paraId="071FA62C">
      <w:pPr>
        <w:snapToGrid w:val="0"/>
        <w:spacing w:line="600" w:lineRule="exact"/>
        <w:ind w:firstLine="640" w:firstLineChars="200"/>
        <w:rPr>
          <w:rFonts w:hint="eastAsia" w:ascii="仿宋_GB2312" w:hAnsi="仿宋_GB2312" w:cs="仿宋_GB2312"/>
        </w:rPr>
      </w:pPr>
      <w:r>
        <w:rPr>
          <w:rFonts w:hint="eastAsia" w:ascii="仿宋_GB2312" w:hAnsi="仿宋_GB2312" w:cs="仿宋_GB2312"/>
        </w:rPr>
        <w:t>1.项目资金到位</w:t>
      </w:r>
      <w:r>
        <w:rPr>
          <w:rFonts w:hint="eastAsia" w:ascii="仿宋_GB2312" w:hAnsi="仿宋_GB2312" w:cs="仿宋_GB2312"/>
          <w:lang w:val="en-US" w:eastAsia="zh-CN"/>
        </w:rPr>
        <w:t>及</w:t>
      </w:r>
      <w:r>
        <w:rPr>
          <w:rFonts w:hint="eastAsia" w:ascii="仿宋_GB2312" w:hAnsi="仿宋_GB2312" w:cs="仿宋_GB2312"/>
        </w:rPr>
        <w:t>使用情况表</w:t>
      </w:r>
    </w:p>
    <w:p w14:paraId="51B7F437">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right"/>
        <w:textAlignment w:val="auto"/>
        <w:rPr>
          <w:rFonts w:ascii="仿宋_GB2312" w:hAnsi="仿宋_GB2312" w:cs="仿宋_GB2312"/>
          <w:sz w:val="24"/>
          <w:szCs w:val="24"/>
        </w:rPr>
      </w:pPr>
      <w:r>
        <w:rPr>
          <w:rFonts w:hint="eastAsia" w:ascii="仿宋_GB2312" w:hAnsi="仿宋_GB2312" w:cs="仿宋_GB2312"/>
          <w:sz w:val="24"/>
          <w:szCs w:val="24"/>
        </w:rPr>
        <w:t>单位：万元</w:t>
      </w:r>
    </w:p>
    <w:tbl>
      <w:tblPr>
        <w:tblStyle w:val="1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652"/>
        <w:gridCol w:w="1959"/>
        <w:gridCol w:w="1764"/>
        <w:gridCol w:w="1748"/>
      </w:tblGrid>
      <w:tr w14:paraId="6793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14:paraId="708B1DC5">
            <w:pPr>
              <w:widowControl/>
              <w:jc w:val="center"/>
              <w:textAlignment w:val="center"/>
              <w:rPr>
                <w:rFonts w:hint="default" w:ascii="仿宋_GB2312" w:hAnsi="仿宋_GB2312" w:cs="仿宋_GB2312"/>
                <w:b/>
                <w:bCs/>
                <w:color w:val="000000"/>
                <w:kern w:val="0"/>
                <w:sz w:val="24"/>
                <w:szCs w:val="24"/>
                <w:lang w:val="en-US" w:eastAsia="zh-CN" w:bidi="ar"/>
              </w:rPr>
            </w:pPr>
            <w:r>
              <w:rPr>
                <w:rFonts w:hint="eastAsia" w:ascii="仿宋_GB2312" w:hAnsi="仿宋_GB2312" w:cs="仿宋_GB2312"/>
                <w:b/>
                <w:bCs/>
                <w:color w:val="000000"/>
                <w:kern w:val="0"/>
                <w:sz w:val="24"/>
                <w:szCs w:val="24"/>
                <w:lang w:val="en-US" w:eastAsia="zh-CN" w:bidi="ar"/>
              </w:rPr>
              <w:t>序号</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2D1B31D9">
            <w:pPr>
              <w:widowControl/>
              <w:jc w:val="center"/>
              <w:textAlignment w:val="center"/>
              <w:rPr>
                <w:rFonts w:hint="default" w:ascii="仿宋_GB2312" w:hAnsi="仿宋_GB2312" w:cs="仿宋_GB2312"/>
                <w:b/>
                <w:bCs/>
                <w:color w:val="000000"/>
                <w:kern w:val="0"/>
                <w:sz w:val="24"/>
                <w:szCs w:val="24"/>
                <w:lang w:val="en-US" w:eastAsia="zh-CN" w:bidi="ar"/>
              </w:rPr>
            </w:pPr>
            <w:r>
              <w:rPr>
                <w:rFonts w:hint="eastAsia" w:ascii="仿宋_GB2312" w:hAnsi="仿宋_GB2312" w:cs="仿宋_GB2312"/>
                <w:b/>
                <w:bCs/>
                <w:color w:val="000000"/>
                <w:kern w:val="0"/>
                <w:sz w:val="24"/>
                <w:szCs w:val="24"/>
                <w:lang w:val="en-US" w:eastAsia="zh-CN" w:bidi="ar"/>
              </w:rPr>
              <w:t>年中预算</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26649BDF">
            <w:pPr>
              <w:widowControl/>
              <w:jc w:val="center"/>
              <w:textAlignment w:val="center"/>
              <w:rPr>
                <w:rFonts w:hint="default" w:ascii="仿宋_GB2312" w:hAnsi="仿宋_GB2312" w:eastAsia="仿宋_GB2312" w:cs="仿宋_GB2312"/>
                <w:b/>
                <w:bCs/>
                <w:color w:val="000000"/>
                <w:sz w:val="24"/>
                <w:szCs w:val="24"/>
                <w:lang w:val="en-US" w:eastAsia="zh-CN"/>
              </w:rPr>
            </w:pPr>
            <w:r>
              <w:rPr>
                <w:rFonts w:hint="eastAsia" w:ascii="仿宋_GB2312" w:hAnsi="仿宋_GB2312" w:cs="仿宋_GB2312"/>
                <w:b/>
                <w:bCs/>
                <w:color w:val="000000"/>
                <w:kern w:val="0"/>
                <w:sz w:val="24"/>
                <w:szCs w:val="24"/>
                <w:lang w:val="en-US" w:eastAsia="zh-CN" w:bidi="ar"/>
              </w:rPr>
              <w:t>追加预算</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65EFEA95">
            <w:pPr>
              <w:widowControl/>
              <w:jc w:val="center"/>
              <w:textAlignment w:val="center"/>
              <w:rPr>
                <w:rFonts w:hint="default" w:ascii="仿宋_GB2312" w:hAnsi="仿宋_GB2312" w:eastAsia="仿宋_GB2312" w:cs="仿宋_GB2312"/>
                <w:b/>
                <w:bCs/>
                <w:color w:val="000000"/>
                <w:sz w:val="24"/>
                <w:szCs w:val="24"/>
                <w:lang w:val="en-US" w:eastAsia="zh-CN"/>
              </w:rPr>
            </w:pPr>
            <w:r>
              <w:rPr>
                <w:rFonts w:hint="eastAsia" w:ascii="仿宋_GB2312" w:hAnsi="仿宋_GB2312" w:cs="仿宋_GB2312"/>
                <w:b/>
                <w:bCs/>
                <w:color w:val="000000"/>
                <w:kern w:val="0"/>
                <w:sz w:val="24"/>
                <w:szCs w:val="24"/>
                <w:lang w:val="en-US" w:eastAsia="zh-CN" w:bidi="ar"/>
              </w:rPr>
              <w:t>调整后预算</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4C472157">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cs="仿宋_GB2312"/>
                <w:b/>
                <w:bCs/>
                <w:color w:val="000000"/>
                <w:kern w:val="0"/>
                <w:sz w:val="24"/>
                <w:szCs w:val="24"/>
                <w:lang w:val="en-US" w:eastAsia="zh-CN" w:bidi="ar"/>
              </w:rPr>
              <w:t>预算执行</w:t>
            </w:r>
          </w:p>
        </w:tc>
      </w:tr>
      <w:tr w14:paraId="498F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6" w:type="dxa"/>
            <w:tcBorders>
              <w:left w:val="single" w:color="auto" w:sz="4" w:space="0"/>
              <w:bottom w:val="single" w:color="auto" w:sz="4" w:space="0"/>
              <w:right w:val="single" w:color="auto" w:sz="4" w:space="0"/>
            </w:tcBorders>
            <w:shd w:val="clear" w:color="auto" w:fill="auto"/>
            <w:vAlign w:val="center"/>
          </w:tcPr>
          <w:p w14:paraId="5792CEC3">
            <w:pPr>
              <w:widowControl/>
              <w:jc w:val="center"/>
              <w:textAlignment w:val="center"/>
              <w:rPr>
                <w:rFonts w:hint="default" w:ascii="仿宋_GB2312" w:hAnsi="仿宋_GB2312" w:cs="仿宋_GB2312"/>
                <w:color w:val="000000"/>
                <w:kern w:val="0"/>
                <w:sz w:val="24"/>
                <w:szCs w:val="24"/>
                <w:highlight w:val="none"/>
                <w:lang w:val="en-US" w:eastAsia="zh-CN" w:bidi="ar"/>
              </w:rPr>
            </w:pPr>
            <w:r>
              <w:rPr>
                <w:rFonts w:hint="eastAsia" w:ascii="仿宋_GB2312" w:hAnsi="仿宋_GB2312" w:cs="仿宋_GB2312"/>
                <w:b/>
                <w:bCs/>
                <w:color w:val="000000"/>
                <w:kern w:val="0"/>
                <w:sz w:val="24"/>
                <w:szCs w:val="24"/>
                <w:highlight w:val="none"/>
                <w:lang w:val="en-US" w:eastAsia="zh-CN" w:bidi="ar"/>
              </w:rPr>
              <w:t>合计</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41B6C081">
            <w:pPr>
              <w:snapToGrid w:val="0"/>
              <w:spacing w:line="240" w:lineRule="auto"/>
              <w:ind w:firstLine="0" w:firstLineChars="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480</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6CCC0238">
            <w:pPr>
              <w:snapToGrid w:val="0"/>
              <w:spacing w:line="240" w:lineRule="auto"/>
              <w:ind w:firstLine="0" w:firstLineChars="0"/>
              <w:jc w:val="center"/>
              <w:rPr>
                <w:rFonts w:hint="eastAsia" w:ascii="Times New Roman" w:hAnsi="Times New Roman" w:cs="Times New Roman"/>
                <w:sz w:val="24"/>
                <w:szCs w:val="24"/>
                <w:highlight w:val="none"/>
                <w:lang w:val="en-US" w:eastAsia="zh-CN"/>
              </w:rPr>
            </w:pPr>
            <w:r>
              <w:rPr>
                <w:rFonts w:hint="eastAsia" w:cs="Times New Roman"/>
                <w:sz w:val="24"/>
                <w:szCs w:val="24"/>
                <w:highlight w:val="none"/>
                <w:lang w:val="en-US" w:eastAsia="zh-CN"/>
              </w:rPr>
              <w:t>0</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53D88A80">
            <w:pPr>
              <w:snapToGrid w:val="0"/>
              <w:spacing w:line="240" w:lineRule="auto"/>
              <w:ind w:firstLine="0" w:firstLineChars="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480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2FAD341F">
            <w:pPr>
              <w:snapToGrid w:val="0"/>
              <w:spacing w:line="240" w:lineRule="auto"/>
              <w:ind w:firstLine="0" w:firstLineChars="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480</w:t>
            </w:r>
          </w:p>
        </w:tc>
      </w:tr>
    </w:tbl>
    <w:p w14:paraId="77E3A7B9">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黑体" w:hAnsi="黑体" w:eastAsia="黑体" w:cs="黑体"/>
          <w:sz w:val="32"/>
          <w:szCs w:val="32"/>
        </w:rPr>
      </w:pPr>
      <w:bookmarkStart w:id="23" w:name="_Toc7914"/>
      <w:r>
        <w:rPr>
          <w:rFonts w:hint="eastAsia"/>
          <w:sz w:val="32"/>
          <w:szCs w:val="32"/>
        </w:rPr>
        <w:t>三、评价结论及绩效分析</w:t>
      </w:r>
      <w:bookmarkEnd w:id="23"/>
    </w:p>
    <w:p w14:paraId="0C0FFC08">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24" w:name="_Toc31822"/>
      <w:r>
        <w:rPr>
          <w:rFonts w:hint="eastAsia" w:ascii="楷体_GB2312" w:hAnsi="楷体_GB2312" w:eastAsia="楷体_GB2312" w:cs="楷体_GB2312"/>
          <w:b/>
          <w:lang w:val="en-US" w:eastAsia="zh-CN"/>
        </w:rPr>
        <w:t>（一）评价结论</w:t>
      </w:r>
      <w:bookmarkEnd w:id="24"/>
    </w:p>
    <w:p w14:paraId="64F013BC">
      <w:pPr>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b/>
          <w:bCs/>
          <w:sz w:val="28"/>
          <w:szCs w:val="24"/>
        </w:rPr>
      </w:pPr>
      <w:r>
        <w:rPr>
          <w:rFonts w:hint="eastAsia" w:ascii="Times New Roman" w:hAnsi="Times New Roman" w:cs="Times New Roman"/>
          <w:szCs w:val="32"/>
          <w:highlight w:val="none"/>
          <w:lang w:val="en-US" w:eastAsia="zh-CN"/>
        </w:rPr>
        <w:t>总体来看，“2025年乡村振兴衔接资金-外出务工交通补助</w:t>
      </w:r>
      <w:r>
        <w:rPr>
          <w:rFonts w:hint="eastAsia" w:cs="Times New Roman"/>
          <w:szCs w:val="32"/>
          <w:highlight w:val="none"/>
          <w:lang w:val="en-US" w:eastAsia="zh-CN"/>
        </w:rPr>
        <w:t>（第五批）</w:t>
      </w:r>
      <w:r>
        <w:rPr>
          <w:rFonts w:hint="eastAsia" w:ascii="Times New Roman" w:hAnsi="Times New Roman" w:cs="Times New Roman"/>
          <w:szCs w:val="32"/>
          <w:highlight w:val="none"/>
          <w:lang w:val="en-US" w:eastAsia="zh-CN"/>
        </w:rPr>
        <w:t>”项目基本完成了总体绩效目标，</w:t>
      </w:r>
      <w:r>
        <w:rPr>
          <w:rFonts w:hint="eastAsia" w:cs="Times New Roman"/>
          <w:szCs w:val="32"/>
          <w:highlight w:val="none"/>
          <w:lang w:val="en-US" w:eastAsia="zh-CN"/>
        </w:rPr>
        <w:t>核实全县27个乡镇（街道）4000人次应享受外出务工交通补助，完成4000人次的补助发放工作，鼓励了有劳动能力的脱贫人口（监测对象）外出务工，降低就业成本，帮助对象户持续稳定增收。</w:t>
      </w:r>
      <w:r>
        <w:rPr>
          <w:rFonts w:ascii="宋体" w:hAnsi="宋体" w:eastAsia="宋体" w:cs="宋体"/>
          <w:sz w:val="24"/>
          <w:szCs w:val="24"/>
          <w:highlight w:val="none"/>
        </w:rPr>
        <w:t>‌‌</w:t>
      </w:r>
      <w:r>
        <w:rPr>
          <w:rFonts w:hint="eastAsia" w:ascii="仿宋_GB2312" w:hAnsi="仿宋_GB2312" w:cs="仿宋_GB2312"/>
          <w:highlight w:val="none"/>
        </w:rPr>
        <w:t>但是，</w:t>
      </w:r>
      <w:r>
        <w:rPr>
          <w:rFonts w:hint="default" w:ascii="Times New Roman" w:hAnsi="Times New Roman" w:cs="Times New Roman"/>
          <w:highlight w:val="none"/>
        </w:rPr>
        <w:t>项目</w:t>
      </w:r>
      <w:r>
        <w:rPr>
          <w:rFonts w:hint="default" w:ascii="Times New Roman" w:hAnsi="Times New Roman" w:cs="Times New Roman"/>
          <w:highlight w:val="none"/>
          <w:lang w:val="en-US" w:eastAsia="zh-CN"/>
        </w:rPr>
        <w:t>实施</w:t>
      </w:r>
      <w:r>
        <w:rPr>
          <w:rFonts w:hint="default" w:ascii="Times New Roman" w:hAnsi="Times New Roman" w:cs="Times New Roman"/>
          <w:highlight w:val="none"/>
        </w:rPr>
        <w:t>过程中存在</w:t>
      </w:r>
      <w:r>
        <w:rPr>
          <w:rFonts w:hint="default" w:ascii="Times New Roman" w:hAnsi="Times New Roman" w:cs="Times New Roman"/>
          <w:highlight w:val="none"/>
          <w:lang w:val="en-US" w:eastAsia="zh-CN"/>
        </w:rPr>
        <w:t>以下</w:t>
      </w:r>
      <w:r>
        <w:rPr>
          <w:rFonts w:hint="eastAsia" w:cs="Times New Roman"/>
          <w:highlight w:val="none"/>
          <w:lang w:val="en-US" w:eastAsia="zh-CN"/>
        </w:rPr>
        <w:t>两个方面</w:t>
      </w:r>
      <w:r>
        <w:rPr>
          <w:rFonts w:hint="default" w:ascii="Times New Roman" w:hAnsi="Times New Roman" w:cs="Times New Roman"/>
          <w:highlight w:val="none"/>
          <w:lang w:val="en-US" w:eastAsia="zh-CN"/>
        </w:rPr>
        <w:t>的问题，一是</w:t>
      </w:r>
      <w:r>
        <w:rPr>
          <w:rFonts w:hint="default" w:ascii="Times New Roman" w:hAnsi="Times New Roman" w:cs="Times New Roman"/>
          <w:szCs w:val="32"/>
          <w:highlight w:val="none"/>
          <w:lang w:val="en-US" w:eastAsia="zh-CN"/>
        </w:rPr>
        <w:t>绩效管理工作不细致</w:t>
      </w:r>
      <w:r>
        <w:rPr>
          <w:rFonts w:hint="eastAsia" w:ascii="Times New Roman" w:hAnsi="Times New Roman" w:cs="Times New Roman"/>
          <w:szCs w:val="32"/>
          <w:highlight w:val="none"/>
          <w:lang w:val="en-US" w:eastAsia="zh-CN"/>
        </w:rPr>
        <w:t>；</w:t>
      </w:r>
      <w:r>
        <w:rPr>
          <w:rFonts w:hint="default" w:ascii="Times New Roman" w:hAnsi="Times New Roman" w:cs="Times New Roman"/>
          <w:szCs w:val="32"/>
          <w:highlight w:val="none"/>
          <w:lang w:val="en-US" w:eastAsia="zh-CN"/>
        </w:rPr>
        <w:t>二是个别补助资金发放失败，未及时修改完善数据</w:t>
      </w:r>
      <w:r>
        <w:rPr>
          <w:rFonts w:hint="eastAsia" w:ascii="Times New Roman" w:hAnsi="Times New Roman" w:cs="Times New Roman"/>
          <w:szCs w:val="32"/>
          <w:highlight w:val="none"/>
          <w:lang w:val="en-US" w:eastAsia="zh-CN"/>
        </w:rPr>
        <w:t>。</w:t>
      </w:r>
      <w:r>
        <w:rPr>
          <w:rFonts w:hint="default" w:ascii="Times New Roman" w:hAnsi="Times New Roman" w:cs="Times New Roman"/>
          <w:highlight w:val="none"/>
        </w:rPr>
        <w:t>本项目绩效评价得分</w:t>
      </w:r>
      <w:r>
        <w:rPr>
          <w:rFonts w:hint="eastAsia" w:ascii="Times New Roman" w:hAnsi="Times New Roman" w:cs="Times New Roman"/>
          <w:color w:val="auto"/>
          <w:highlight w:val="none"/>
          <w:lang w:val="en-US" w:eastAsia="zh-CN"/>
        </w:rPr>
        <w:t>95</w:t>
      </w:r>
      <w:r>
        <w:rPr>
          <w:rFonts w:hint="default" w:ascii="Times New Roman" w:hAnsi="Times New Roman" w:cs="Times New Roman"/>
          <w:highlight w:val="none"/>
        </w:rPr>
        <w:t>分，评价结果为“</w:t>
      </w:r>
      <w:r>
        <w:rPr>
          <w:rFonts w:hint="default" w:ascii="Times New Roman" w:hAnsi="Times New Roman" w:cs="Times New Roman"/>
          <w:highlight w:val="none"/>
          <w:lang w:val="en-US" w:eastAsia="zh-CN"/>
        </w:rPr>
        <w:t>优</w:t>
      </w:r>
      <w:r>
        <w:rPr>
          <w:rFonts w:hint="default" w:ascii="Times New Roman" w:hAnsi="Times New Roman" w:cs="Times New Roman"/>
          <w:highlight w:val="none"/>
        </w:rPr>
        <w:t>”</w:t>
      </w:r>
      <w:r>
        <w:rPr>
          <w:rFonts w:hint="default" w:ascii="Times New Roman" w:hAnsi="Times New Roman" w:cs="Times New Roman"/>
          <w:highlight w:val="none"/>
          <w:lang w:eastAsia="zh-CN"/>
        </w:rPr>
        <w:t>。</w:t>
      </w:r>
      <w:r>
        <w:rPr>
          <w:rFonts w:hint="eastAsia" w:ascii="仿宋_GB2312" w:hAnsi="仿宋_GB2312" w:cs="仿宋_GB2312"/>
          <w:highlight w:val="none"/>
        </w:rPr>
        <w:t>项目支出得分情况详见表</w:t>
      </w:r>
      <w:r>
        <w:rPr>
          <w:rFonts w:hint="eastAsia" w:cs="Times New Roman"/>
          <w:highlight w:val="none"/>
          <w:lang w:val="en-US" w:eastAsia="zh-CN"/>
        </w:rPr>
        <w:t>3-1：</w:t>
      </w:r>
      <w:bookmarkStart w:id="25" w:name="_Toc20540"/>
      <w:bookmarkStart w:id="26" w:name="_Toc23424"/>
    </w:p>
    <w:p w14:paraId="560FDF3D">
      <w:pPr>
        <w:ind w:left="-15" w:right="3"/>
        <w:jc w:val="center"/>
        <w:rPr>
          <w:rFonts w:hint="eastAsia" w:ascii="仿宋" w:hAnsi="仿宋" w:eastAsia="仿宋" w:cs="Times New Roman"/>
          <w:b/>
          <w:bCs/>
          <w:sz w:val="28"/>
          <w:szCs w:val="24"/>
          <w:lang w:val="en-US" w:eastAsia="zh-CN"/>
        </w:rPr>
      </w:pPr>
      <w:r>
        <w:rPr>
          <w:rFonts w:hint="eastAsia" w:ascii="仿宋" w:hAnsi="仿宋" w:eastAsia="仿宋"/>
          <w:b/>
          <w:bCs/>
          <w:sz w:val="28"/>
          <w:szCs w:val="24"/>
        </w:rPr>
        <w:t xml:space="preserve">表3-1： </w:t>
      </w:r>
      <w:r>
        <w:rPr>
          <w:rFonts w:hint="eastAsia" w:ascii="仿宋" w:hAnsi="仿宋" w:eastAsia="仿宋" w:cs="Times New Roman"/>
          <w:b/>
          <w:bCs/>
          <w:sz w:val="28"/>
          <w:szCs w:val="24"/>
          <w:lang w:val="en-US" w:eastAsia="zh-CN"/>
        </w:rPr>
        <w:t>2025年乡村振兴衔接资金-外出务工交通补助（第五批）</w:t>
      </w:r>
    </w:p>
    <w:p w14:paraId="06CF21BA">
      <w:pPr>
        <w:ind w:left="-15" w:right="3"/>
        <w:jc w:val="center"/>
        <w:rPr>
          <w:b/>
          <w:bCs/>
        </w:rPr>
      </w:pPr>
      <w:r>
        <w:rPr>
          <w:rFonts w:hint="eastAsia" w:ascii="仿宋" w:hAnsi="仿宋" w:eastAsia="仿宋" w:cs="Times New Roman"/>
          <w:b/>
          <w:bCs/>
          <w:sz w:val="28"/>
          <w:szCs w:val="24"/>
          <w:lang w:val="en-US" w:eastAsia="zh-CN"/>
        </w:rPr>
        <w:t>项</w:t>
      </w:r>
      <w:r>
        <w:rPr>
          <w:rFonts w:hint="eastAsia" w:ascii="仿宋" w:hAnsi="仿宋" w:eastAsia="仿宋"/>
          <w:b/>
          <w:bCs/>
          <w:sz w:val="28"/>
          <w:szCs w:val="24"/>
          <w:lang w:val="en-US" w:eastAsia="zh-CN"/>
        </w:rPr>
        <w:t>目支出</w:t>
      </w:r>
      <w:r>
        <w:rPr>
          <w:rFonts w:hint="eastAsia" w:ascii="仿宋" w:hAnsi="仿宋" w:eastAsia="仿宋"/>
          <w:b/>
          <w:bCs/>
          <w:sz w:val="28"/>
          <w:szCs w:val="24"/>
        </w:rPr>
        <w:t>绩效评价得分表</w:t>
      </w:r>
      <w:bookmarkEnd w:id="25"/>
      <w:bookmarkEnd w:id="26"/>
    </w:p>
    <w:tbl>
      <w:tblPr>
        <w:tblStyle w:val="15"/>
        <w:tblW w:w="8519" w:type="dxa"/>
        <w:tblInd w:w="0" w:type="dxa"/>
        <w:tblLayout w:type="fixed"/>
        <w:tblCellMar>
          <w:top w:w="0" w:type="dxa"/>
          <w:left w:w="108" w:type="dxa"/>
          <w:bottom w:w="0" w:type="dxa"/>
          <w:right w:w="108" w:type="dxa"/>
        </w:tblCellMar>
      </w:tblPr>
      <w:tblGrid>
        <w:gridCol w:w="1900"/>
        <w:gridCol w:w="1773"/>
        <w:gridCol w:w="2569"/>
        <w:gridCol w:w="1166"/>
        <w:gridCol w:w="1111"/>
      </w:tblGrid>
      <w:tr w14:paraId="2C9659F6">
        <w:tblPrEx>
          <w:tblCellMar>
            <w:top w:w="0" w:type="dxa"/>
            <w:left w:w="108" w:type="dxa"/>
            <w:bottom w:w="0" w:type="dxa"/>
            <w:right w:w="108" w:type="dxa"/>
          </w:tblCellMar>
        </w:tblPrEx>
        <w:trPr>
          <w:trHeight w:val="567" w:hRule="exact"/>
          <w:tblHeader/>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6E6D">
            <w:pPr>
              <w:ind w:left="-15" w:right="3"/>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一级指标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1293">
            <w:pPr>
              <w:ind w:left="-15" w:right="3"/>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二级指标</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C7A1">
            <w:pPr>
              <w:ind w:left="-15" w:right="3"/>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三级指标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C9BF">
            <w:pPr>
              <w:ind w:left="-15" w:right="3"/>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赋分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558B">
            <w:pPr>
              <w:ind w:left="-15" w:right="3"/>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得分</w:t>
            </w:r>
          </w:p>
        </w:tc>
      </w:tr>
      <w:tr w14:paraId="08D4552E">
        <w:tblPrEx>
          <w:tblCellMar>
            <w:top w:w="0" w:type="dxa"/>
            <w:left w:w="108" w:type="dxa"/>
            <w:bottom w:w="0" w:type="dxa"/>
            <w:right w:w="108" w:type="dxa"/>
          </w:tblCellMar>
        </w:tblPrEx>
        <w:trPr>
          <w:trHeight w:val="567" w:hRule="exact"/>
        </w:trPr>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F07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通用指标</w:t>
            </w:r>
          </w:p>
          <w:p w14:paraId="3BB284B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（54分）</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B852E">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项目决策</w:t>
            </w:r>
          </w:p>
          <w:p w14:paraId="653FE526">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（18分）</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A7F9">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决策程序</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AC41">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B99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w:t>
            </w:r>
          </w:p>
        </w:tc>
      </w:tr>
      <w:tr w14:paraId="440B79CE">
        <w:tblPrEx>
          <w:tblCellMar>
            <w:top w:w="0" w:type="dxa"/>
            <w:left w:w="108" w:type="dxa"/>
            <w:bottom w:w="0" w:type="dxa"/>
            <w:right w:w="108" w:type="dxa"/>
          </w:tblCellMar>
        </w:tblPrEx>
        <w:trPr>
          <w:trHeight w:val="567" w:hRule="exact"/>
        </w:trPr>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EAAA">
            <w:pPr>
              <w:jc w:val="center"/>
              <w:rPr>
                <w:rFonts w:hint="eastAsia" w:ascii="宋体" w:hAnsi="宋体" w:eastAsia="宋体" w:cs="宋体"/>
                <w:color w:val="000000"/>
                <w:sz w:val="22"/>
                <w:szCs w:val="22"/>
                <w:highlight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6230">
            <w:pPr>
              <w:jc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A9A0">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规划论证</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3DCD">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DA0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w:t>
            </w:r>
          </w:p>
        </w:tc>
      </w:tr>
      <w:tr w14:paraId="5B0CB738">
        <w:tblPrEx>
          <w:tblCellMar>
            <w:top w:w="0" w:type="dxa"/>
            <w:left w:w="108" w:type="dxa"/>
            <w:bottom w:w="0" w:type="dxa"/>
            <w:right w:w="108" w:type="dxa"/>
          </w:tblCellMar>
        </w:tblPrEx>
        <w:trPr>
          <w:trHeight w:val="567" w:hRule="exact"/>
        </w:trPr>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E583">
            <w:pPr>
              <w:jc w:val="center"/>
              <w:rPr>
                <w:rFonts w:hint="eastAsia" w:ascii="宋体" w:hAnsi="宋体" w:eastAsia="宋体" w:cs="宋体"/>
                <w:color w:val="000000"/>
                <w:sz w:val="22"/>
                <w:szCs w:val="22"/>
                <w:highlight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556A6">
            <w:pPr>
              <w:widowControl/>
              <w:jc w:val="center"/>
              <w:textAlignment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D19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资金投向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EF48">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4984">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w:t>
            </w:r>
          </w:p>
        </w:tc>
      </w:tr>
      <w:tr w14:paraId="732C099E">
        <w:tblPrEx>
          <w:tblCellMar>
            <w:top w:w="0" w:type="dxa"/>
            <w:left w:w="108" w:type="dxa"/>
            <w:bottom w:w="0" w:type="dxa"/>
            <w:right w:w="108" w:type="dxa"/>
          </w:tblCellMar>
        </w:tblPrEx>
        <w:trPr>
          <w:trHeight w:val="567" w:hRule="exact"/>
        </w:trPr>
        <w:tc>
          <w:tcPr>
            <w:tcW w:w="1900" w:type="dxa"/>
            <w:vMerge w:val="continue"/>
            <w:tcBorders>
              <w:top w:val="single" w:color="000000" w:sz="4" w:space="0"/>
              <w:left w:val="single" w:color="000000" w:sz="4" w:space="0"/>
              <w:right w:val="single" w:color="000000" w:sz="2" w:space="0"/>
            </w:tcBorders>
            <w:shd w:val="clear" w:color="auto" w:fill="auto"/>
            <w:vAlign w:val="center"/>
          </w:tcPr>
          <w:p w14:paraId="73D79431">
            <w:pPr>
              <w:jc w:val="center"/>
              <w:rPr>
                <w:rFonts w:hint="eastAsia" w:ascii="宋体" w:hAnsi="宋体" w:eastAsia="宋体" w:cs="宋体"/>
                <w:color w:val="000000"/>
                <w:sz w:val="22"/>
                <w:szCs w:val="22"/>
                <w:highlight w:val="none"/>
              </w:rPr>
            </w:pPr>
          </w:p>
        </w:tc>
        <w:tc>
          <w:tcPr>
            <w:tcW w:w="1773" w:type="dxa"/>
            <w:vMerge w:val="restart"/>
            <w:tcBorders>
              <w:top w:val="single" w:color="000000" w:sz="4" w:space="0"/>
              <w:left w:val="single" w:color="000000" w:sz="2" w:space="0"/>
              <w:right w:val="single" w:color="000000" w:sz="2" w:space="0"/>
            </w:tcBorders>
            <w:shd w:val="clear" w:color="auto" w:fill="auto"/>
            <w:vAlign w:val="center"/>
          </w:tcPr>
          <w:p w14:paraId="351563DA">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项目管理</w:t>
            </w:r>
          </w:p>
          <w:p w14:paraId="291A498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（18分）</w:t>
            </w:r>
          </w:p>
        </w:tc>
        <w:tc>
          <w:tcPr>
            <w:tcW w:w="256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175050E1">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制度办法</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0F85">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065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w:t>
            </w:r>
          </w:p>
        </w:tc>
      </w:tr>
      <w:tr w14:paraId="7D4CA54A">
        <w:tblPrEx>
          <w:tblCellMar>
            <w:top w:w="0" w:type="dxa"/>
            <w:left w:w="108" w:type="dxa"/>
            <w:bottom w:w="0" w:type="dxa"/>
            <w:right w:w="108" w:type="dxa"/>
          </w:tblCellMar>
        </w:tblPrEx>
        <w:trPr>
          <w:trHeight w:val="567" w:hRule="exact"/>
        </w:trPr>
        <w:tc>
          <w:tcPr>
            <w:tcW w:w="1900" w:type="dxa"/>
            <w:vMerge w:val="continue"/>
            <w:tcBorders>
              <w:left w:val="single" w:color="000000" w:sz="4" w:space="0"/>
              <w:right w:val="single" w:color="000000" w:sz="2" w:space="0"/>
            </w:tcBorders>
            <w:shd w:val="clear" w:color="auto" w:fill="auto"/>
            <w:vAlign w:val="center"/>
          </w:tcPr>
          <w:p w14:paraId="653ED165">
            <w:pPr>
              <w:jc w:val="center"/>
              <w:rPr>
                <w:rFonts w:hint="eastAsia" w:ascii="宋体" w:hAnsi="宋体" w:eastAsia="宋体" w:cs="宋体"/>
                <w:color w:val="000000"/>
                <w:sz w:val="22"/>
                <w:szCs w:val="22"/>
                <w:highlight w:val="none"/>
              </w:rPr>
            </w:pPr>
          </w:p>
        </w:tc>
        <w:tc>
          <w:tcPr>
            <w:tcW w:w="1773" w:type="dxa"/>
            <w:vMerge w:val="continue"/>
            <w:tcBorders>
              <w:left w:val="single" w:color="000000" w:sz="2" w:space="0"/>
              <w:right w:val="single" w:color="000000" w:sz="2" w:space="0"/>
            </w:tcBorders>
            <w:shd w:val="clear" w:color="auto" w:fill="auto"/>
            <w:vAlign w:val="center"/>
          </w:tcPr>
          <w:p w14:paraId="013EE25A">
            <w:pPr>
              <w:widowControl/>
              <w:jc w:val="center"/>
              <w:textAlignment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E17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分配管理</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A005">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0323">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r>
      <w:tr w14:paraId="5D5459C8">
        <w:tblPrEx>
          <w:tblCellMar>
            <w:top w:w="0" w:type="dxa"/>
            <w:left w:w="108" w:type="dxa"/>
            <w:bottom w:w="0" w:type="dxa"/>
            <w:right w:w="108" w:type="dxa"/>
          </w:tblCellMar>
        </w:tblPrEx>
        <w:trPr>
          <w:trHeight w:val="567" w:hRule="exact"/>
        </w:trPr>
        <w:tc>
          <w:tcPr>
            <w:tcW w:w="1900" w:type="dxa"/>
            <w:vMerge w:val="continue"/>
            <w:tcBorders>
              <w:left w:val="single" w:color="000000" w:sz="4" w:space="0"/>
              <w:right w:val="single" w:color="000000" w:sz="2" w:space="0"/>
            </w:tcBorders>
            <w:shd w:val="clear" w:color="auto" w:fill="auto"/>
            <w:vAlign w:val="center"/>
          </w:tcPr>
          <w:p w14:paraId="5DE91AE5">
            <w:pPr>
              <w:jc w:val="center"/>
              <w:rPr>
                <w:rFonts w:hint="eastAsia" w:ascii="宋体" w:hAnsi="宋体" w:eastAsia="宋体" w:cs="宋体"/>
                <w:color w:val="000000"/>
                <w:sz w:val="22"/>
                <w:szCs w:val="22"/>
                <w:highlight w:val="none"/>
              </w:rPr>
            </w:pPr>
          </w:p>
        </w:tc>
        <w:tc>
          <w:tcPr>
            <w:tcW w:w="1773" w:type="dxa"/>
            <w:vMerge w:val="continue"/>
            <w:tcBorders>
              <w:left w:val="single" w:color="000000" w:sz="2" w:space="0"/>
              <w:bottom w:val="single" w:color="000000" w:sz="2" w:space="0"/>
              <w:right w:val="single" w:color="000000" w:sz="2" w:space="0"/>
            </w:tcBorders>
            <w:shd w:val="clear" w:color="auto" w:fill="auto"/>
            <w:vAlign w:val="center"/>
          </w:tcPr>
          <w:p w14:paraId="46BDA12E">
            <w:pPr>
              <w:jc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094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绩效监管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DF88">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E149">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w:t>
            </w:r>
          </w:p>
        </w:tc>
      </w:tr>
      <w:tr w14:paraId="28279E49">
        <w:tblPrEx>
          <w:tblCellMar>
            <w:top w:w="0" w:type="dxa"/>
            <w:left w:w="108" w:type="dxa"/>
            <w:bottom w:w="0" w:type="dxa"/>
            <w:right w:w="108" w:type="dxa"/>
          </w:tblCellMar>
        </w:tblPrEx>
        <w:trPr>
          <w:trHeight w:val="567" w:hRule="exact"/>
        </w:trPr>
        <w:tc>
          <w:tcPr>
            <w:tcW w:w="1900" w:type="dxa"/>
            <w:vMerge w:val="continue"/>
            <w:tcBorders>
              <w:left w:val="single" w:color="000000" w:sz="4" w:space="0"/>
              <w:right w:val="single" w:color="000000" w:sz="2" w:space="0"/>
            </w:tcBorders>
            <w:shd w:val="clear" w:color="auto" w:fill="auto"/>
            <w:vAlign w:val="center"/>
          </w:tcPr>
          <w:p w14:paraId="36EB9C73">
            <w:pPr>
              <w:widowControl/>
              <w:jc w:val="center"/>
              <w:textAlignment w:val="center"/>
              <w:rPr>
                <w:rFonts w:hint="eastAsia" w:ascii="宋体" w:hAnsi="宋体" w:eastAsia="宋体" w:cs="宋体"/>
                <w:color w:val="000000"/>
                <w:sz w:val="22"/>
                <w:szCs w:val="22"/>
                <w:highlight w:val="none"/>
              </w:rPr>
            </w:pPr>
          </w:p>
        </w:tc>
        <w:tc>
          <w:tcPr>
            <w:tcW w:w="1773" w:type="dxa"/>
            <w:vMerge w:val="restart"/>
            <w:tcBorders>
              <w:top w:val="single" w:color="000000" w:sz="2" w:space="0"/>
              <w:left w:val="single" w:color="000000" w:sz="4" w:space="0"/>
              <w:bottom w:val="single" w:color="000000" w:sz="2" w:space="0"/>
              <w:right w:val="single" w:color="000000" w:sz="4" w:space="0"/>
            </w:tcBorders>
            <w:shd w:val="clear" w:color="auto" w:fill="auto"/>
            <w:vAlign w:val="center"/>
          </w:tcPr>
          <w:p w14:paraId="4E54142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项目实施</w:t>
            </w:r>
          </w:p>
          <w:p w14:paraId="32062E2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（9分）</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1593">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预算执行</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F8D0">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350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w:t>
            </w:r>
          </w:p>
        </w:tc>
      </w:tr>
      <w:tr w14:paraId="209F2D21">
        <w:tblPrEx>
          <w:tblCellMar>
            <w:top w:w="0" w:type="dxa"/>
            <w:left w:w="108" w:type="dxa"/>
            <w:bottom w:w="0" w:type="dxa"/>
            <w:right w:w="108" w:type="dxa"/>
          </w:tblCellMar>
        </w:tblPrEx>
        <w:trPr>
          <w:trHeight w:val="567" w:hRule="exact"/>
        </w:trPr>
        <w:tc>
          <w:tcPr>
            <w:tcW w:w="1900" w:type="dxa"/>
            <w:vMerge w:val="continue"/>
            <w:tcBorders>
              <w:left w:val="single" w:color="000000" w:sz="4" w:space="0"/>
              <w:right w:val="single" w:color="000000" w:sz="2" w:space="0"/>
            </w:tcBorders>
            <w:shd w:val="clear" w:color="auto" w:fill="auto"/>
            <w:vAlign w:val="center"/>
          </w:tcPr>
          <w:p w14:paraId="43E7F8DC">
            <w:pPr>
              <w:jc w:val="center"/>
              <w:rPr>
                <w:rFonts w:hint="eastAsia" w:ascii="宋体" w:hAnsi="宋体" w:eastAsia="宋体" w:cs="宋体"/>
                <w:color w:val="000000"/>
                <w:sz w:val="22"/>
                <w:szCs w:val="22"/>
                <w:highlight w:val="none"/>
              </w:rPr>
            </w:pPr>
          </w:p>
        </w:tc>
        <w:tc>
          <w:tcPr>
            <w:tcW w:w="1773" w:type="dxa"/>
            <w:vMerge w:val="continue"/>
            <w:tcBorders>
              <w:top w:val="single" w:color="000000" w:sz="2" w:space="0"/>
              <w:left w:val="single" w:color="000000" w:sz="4" w:space="0"/>
              <w:bottom w:val="single" w:color="000000" w:sz="2" w:space="0"/>
              <w:right w:val="single" w:color="000000" w:sz="4" w:space="0"/>
            </w:tcBorders>
            <w:shd w:val="clear" w:color="auto" w:fill="auto"/>
            <w:vAlign w:val="center"/>
          </w:tcPr>
          <w:p w14:paraId="7F245BE9">
            <w:pPr>
              <w:jc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E026">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资金使用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78E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555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r>
      <w:tr w14:paraId="76F3CFB9">
        <w:tblPrEx>
          <w:tblCellMar>
            <w:top w:w="0" w:type="dxa"/>
            <w:left w:w="108" w:type="dxa"/>
            <w:bottom w:w="0" w:type="dxa"/>
            <w:right w:w="108" w:type="dxa"/>
          </w:tblCellMar>
        </w:tblPrEx>
        <w:trPr>
          <w:trHeight w:val="567" w:hRule="exact"/>
        </w:trPr>
        <w:tc>
          <w:tcPr>
            <w:tcW w:w="1900" w:type="dxa"/>
            <w:vMerge w:val="continue"/>
            <w:tcBorders>
              <w:left w:val="single" w:color="000000" w:sz="4" w:space="0"/>
              <w:right w:val="single" w:color="000000" w:sz="2" w:space="0"/>
            </w:tcBorders>
            <w:shd w:val="clear" w:color="auto" w:fill="auto"/>
            <w:vAlign w:val="center"/>
          </w:tcPr>
          <w:p w14:paraId="4577F2C3">
            <w:pPr>
              <w:jc w:val="center"/>
              <w:rPr>
                <w:rFonts w:hint="eastAsia" w:ascii="宋体" w:hAnsi="宋体" w:eastAsia="宋体" w:cs="宋体"/>
                <w:color w:val="000000"/>
                <w:sz w:val="22"/>
                <w:szCs w:val="22"/>
                <w:highlight w:val="none"/>
              </w:rPr>
            </w:pPr>
          </w:p>
        </w:tc>
        <w:tc>
          <w:tcPr>
            <w:tcW w:w="1773" w:type="dxa"/>
            <w:vMerge w:val="restart"/>
            <w:tcBorders>
              <w:top w:val="single" w:color="000000" w:sz="2" w:space="0"/>
              <w:left w:val="single" w:color="000000" w:sz="4" w:space="0"/>
              <w:right w:val="single" w:color="000000" w:sz="4" w:space="0"/>
            </w:tcBorders>
            <w:shd w:val="clear" w:color="auto" w:fill="auto"/>
            <w:vAlign w:val="center"/>
          </w:tcPr>
          <w:p w14:paraId="77D28815">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项目结果</w:t>
            </w:r>
          </w:p>
          <w:p w14:paraId="2DD26497">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（9分）</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639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目标完成</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A00F">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C273">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w:t>
            </w:r>
          </w:p>
        </w:tc>
      </w:tr>
      <w:tr w14:paraId="1DFBBFEF">
        <w:tblPrEx>
          <w:tblCellMar>
            <w:top w:w="0" w:type="dxa"/>
            <w:left w:w="108" w:type="dxa"/>
            <w:bottom w:w="0" w:type="dxa"/>
            <w:right w:w="108" w:type="dxa"/>
          </w:tblCellMar>
        </w:tblPrEx>
        <w:trPr>
          <w:trHeight w:val="567" w:hRule="exact"/>
        </w:trPr>
        <w:tc>
          <w:tcPr>
            <w:tcW w:w="1900" w:type="dxa"/>
            <w:vMerge w:val="continue"/>
            <w:tcBorders>
              <w:left w:val="single" w:color="000000" w:sz="4" w:space="0"/>
              <w:bottom w:val="single" w:color="000000" w:sz="4" w:space="0"/>
              <w:right w:val="single" w:color="000000" w:sz="2" w:space="0"/>
            </w:tcBorders>
            <w:shd w:val="clear" w:color="auto" w:fill="auto"/>
            <w:vAlign w:val="center"/>
          </w:tcPr>
          <w:p w14:paraId="5001C906">
            <w:pPr>
              <w:jc w:val="center"/>
              <w:rPr>
                <w:rFonts w:hint="eastAsia" w:ascii="宋体" w:hAnsi="宋体" w:eastAsia="宋体" w:cs="宋体"/>
                <w:color w:val="000000"/>
                <w:sz w:val="22"/>
                <w:szCs w:val="22"/>
                <w:highlight w:val="none"/>
              </w:rPr>
            </w:pPr>
          </w:p>
        </w:tc>
        <w:tc>
          <w:tcPr>
            <w:tcW w:w="1773" w:type="dxa"/>
            <w:vMerge w:val="continue"/>
            <w:tcBorders>
              <w:left w:val="single" w:color="000000" w:sz="4" w:space="0"/>
              <w:bottom w:val="single" w:color="000000" w:sz="4" w:space="0"/>
              <w:right w:val="single" w:color="000000" w:sz="4" w:space="0"/>
            </w:tcBorders>
            <w:shd w:val="clear" w:color="auto" w:fill="auto"/>
            <w:vAlign w:val="center"/>
          </w:tcPr>
          <w:p w14:paraId="2E197708">
            <w:pPr>
              <w:widowControl/>
              <w:jc w:val="center"/>
              <w:textAlignment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213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完成时效</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06A9">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19C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w:t>
            </w:r>
          </w:p>
        </w:tc>
      </w:tr>
      <w:tr w14:paraId="1D10FA04">
        <w:tblPrEx>
          <w:tblCellMar>
            <w:top w:w="0" w:type="dxa"/>
            <w:left w:w="108" w:type="dxa"/>
            <w:bottom w:w="0" w:type="dxa"/>
            <w:right w:w="108" w:type="dxa"/>
          </w:tblCellMar>
        </w:tblPrEx>
        <w:trPr>
          <w:trHeight w:val="567" w:hRule="exact"/>
        </w:trPr>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8E2C9">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专用指标</w:t>
            </w:r>
          </w:p>
          <w:p w14:paraId="2B4EAED3">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30分</w:t>
            </w:r>
            <w:r>
              <w:rPr>
                <w:rFonts w:hint="eastAsia" w:ascii="宋体" w:hAnsi="宋体" w:eastAsia="宋体" w:cs="宋体"/>
                <w:color w:val="000000"/>
                <w:kern w:val="0"/>
                <w:sz w:val="22"/>
                <w:szCs w:val="22"/>
                <w:highlight w:val="none"/>
                <w:lang w:eastAsia="zh-CN" w:bidi="ar"/>
              </w:rPr>
              <w:t>）</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B019E">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民生保障</w:t>
            </w:r>
          </w:p>
          <w:p w14:paraId="59126258">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（30分）</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5DE3">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区域均衡性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A52D">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FFB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r>
      <w:tr w14:paraId="3D1F10F6">
        <w:tblPrEx>
          <w:tblCellMar>
            <w:top w:w="0" w:type="dxa"/>
            <w:left w:w="108" w:type="dxa"/>
            <w:bottom w:w="0" w:type="dxa"/>
            <w:right w:w="108" w:type="dxa"/>
          </w:tblCellMar>
        </w:tblPrEx>
        <w:trPr>
          <w:trHeight w:val="567" w:hRule="exact"/>
        </w:trPr>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4D3F">
            <w:pPr>
              <w:jc w:val="center"/>
              <w:rPr>
                <w:rFonts w:hint="eastAsia" w:ascii="宋体" w:hAnsi="宋体" w:eastAsia="宋体" w:cs="宋体"/>
                <w:color w:val="000000"/>
                <w:sz w:val="22"/>
                <w:szCs w:val="22"/>
                <w:highlight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DB88">
            <w:pPr>
              <w:widowControl/>
              <w:jc w:val="center"/>
              <w:textAlignment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761B">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对象精准性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21E0">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8712">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r>
      <w:tr w14:paraId="22E9BB70">
        <w:tblPrEx>
          <w:tblCellMar>
            <w:top w:w="0" w:type="dxa"/>
            <w:left w:w="108" w:type="dxa"/>
            <w:bottom w:w="0" w:type="dxa"/>
            <w:right w:w="108" w:type="dxa"/>
          </w:tblCellMar>
        </w:tblPrEx>
        <w:trPr>
          <w:trHeight w:val="567" w:hRule="exact"/>
        </w:trPr>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3BE5">
            <w:pPr>
              <w:jc w:val="center"/>
              <w:rPr>
                <w:rFonts w:hint="eastAsia" w:ascii="宋体" w:hAnsi="宋体" w:eastAsia="宋体" w:cs="宋体"/>
                <w:color w:val="000000"/>
                <w:sz w:val="22"/>
                <w:szCs w:val="22"/>
                <w:highlight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129C">
            <w:pPr>
              <w:widowControl/>
              <w:jc w:val="center"/>
              <w:textAlignment w:val="center"/>
              <w:rPr>
                <w:rFonts w:hint="eastAsia" w:ascii="宋体" w:hAnsi="宋体" w:eastAsia="宋体" w:cs="宋体"/>
                <w:color w:val="000000"/>
                <w:sz w:val="22"/>
                <w:szCs w:val="22"/>
                <w:highlight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FBC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标准合理性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E8AD">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02A5">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r>
      <w:tr w14:paraId="6C288FF4">
        <w:tblPrEx>
          <w:tblCellMar>
            <w:top w:w="0" w:type="dxa"/>
            <w:left w:w="108" w:type="dxa"/>
            <w:bottom w:w="0" w:type="dxa"/>
            <w:right w:w="108" w:type="dxa"/>
          </w:tblCellMar>
        </w:tblPrEx>
        <w:trPr>
          <w:trHeight w:val="666" w:hRule="exact"/>
        </w:trPr>
        <w:tc>
          <w:tcPr>
            <w:tcW w:w="1900" w:type="dxa"/>
            <w:vMerge w:val="restart"/>
            <w:tcBorders>
              <w:top w:val="single" w:color="000000" w:sz="4" w:space="0"/>
              <w:left w:val="single" w:color="000000" w:sz="4" w:space="0"/>
              <w:right w:val="single" w:color="000000" w:sz="4" w:space="0"/>
            </w:tcBorders>
            <w:shd w:val="clear" w:color="auto" w:fill="auto"/>
            <w:vAlign w:val="center"/>
          </w:tcPr>
          <w:p w14:paraId="61E6D79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个性指标</w:t>
            </w:r>
          </w:p>
          <w:p w14:paraId="7403C401">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16分</w:t>
            </w:r>
            <w:r>
              <w:rPr>
                <w:rFonts w:hint="eastAsia" w:ascii="宋体" w:hAnsi="宋体" w:eastAsia="宋体" w:cs="宋体"/>
                <w:color w:val="000000"/>
                <w:kern w:val="0"/>
                <w:sz w:val="22"/>
                <w:szCs w:val="22"/>
                <w:highlight w:val="none"/>
                <w:lang w:eastAsia="zh-CN" w:bidi="ar"/>
              </w:rPr>
              <w:t>）</w:t>
            </w:r>
          </w:p>
        </w:tc>
        <w:tc>
          <w:tcPr>
            <w:tcW w:w="1773" w:type="dxa"/>
            <w:vMerge w:val="restart"/>
            <w:tcBorders>
              <w:top w:val="single" w:color="000000" w:sz="4" w:space="0"/>
              <w:left w:val="single" w:color="000000" w:sz="4" w:space="0"/>
              <w:right w:val="single" w:color="000000" w:sz="4" w:space="0"/>
            </w:tcBorders>
            <w:shd w:val="clear" w:color="auto" w:fill="auto"/>
            <w:vAlign w:val="center"/>
          </w:tcPr>
          <w:p w14:paraId="6E2B1800">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民生保障</w:t>
            </w:r>
          </w:p>
          <w:p w14:paraId="5F96C991">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（16分）</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A0E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程序合规性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9921">
            <w:pPr>
              <w:widowControl/>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FA75">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r>
      <w:tr w14:paraId="12845A6B">
        <w:tblPrEx>
          <w:tblCellMar>
            <w:top w:w="0" w:type="dxa"/>
            <w:left w:w="108" w:type="dxa"/>
            <w:bottom w:w="0" w:type="dxa"/>
            <w:right w:w="108" w:type="dxa"/>
          </w:tblCellMar>
        </w:tblPrEx>
        <w:trPr>
          <w:trHeight w:val="666" w:hRule="exact"/>
        </w:trPr>
        <w:tc>
          <w:tcPr>
            <w:tcW w:w="1900" w:type="dxa"/>
            <w:vMerge w:val="continue"/>
            <w:tcBorders>
              <w:left w:val="single" w:color="000000" w:sz="4" w:space="0"/>
              <w:bottom w:val="single" w:color="000000" w:sz="4" w:space="0"/>
              <w:right w:val="single" w:color="000000" w:sz="4" w:space="0"/>
            </w:tcBorders>
            <w:shd w:val="clear" w:color="auto" w:fill="auto"/>
            <w:vAlign w:val="center"/>
          </w:tcPr>
          <w:p w14:paraId="513267BD">
            <w:pPr>
              <w:widowControl/>
              <w:jc w:val="center"/>
              <w:textAlignment w:val="center"/>
              <w:rPr>
                <w:rFonts w:hint="eastAsia" w:ascii="宋体" w:hAnsi="宋体" w:eastAsia="宋体" w:cs="宋体"/>
                <w:color w:val="000000"/>
                <w:kern w:val="0"/>
                <w:sz w:val="22"/>
                <w:szCs w:val="22"/>
                <w:highlight w:val="none"/>
                <w:lang w:eastAsia="zh-CN" w:bidi="ar"/>
              </w:rPr>
            </w:pPr>
          </w:p>
        </w:tc>
        <w:tc>
          <w:tcPr>
            <w:tcW w:w="1773" w:type="dxa"/>
            <w:vMerge w:val="continue"/>
            <w:tcBorders>
              <w:left w:val="single" w:color="000000" w:sz="4" w:space="0"/>
              <w:right w:val="single" w:color="000000" w:sz="4" w:space="0"/>
            </w:tcBorders>
            <w:shd w:val="clear" w:color="auto" w:fill="auto"/>
            <w:vAlign w:val="center"/>
          </w:tcPr>
          <w:p w14:paraId="17445EBC">
            <w:pPr>
              <w:widowControl/>
              <w:jc w:val="center"/>
              <w:textAlignment w:val="center"/>
              <w:rPr>
                <w:rFonts w:hint="eastAsia" w:ascii="宋体" w:hAnsi="宋体" w:eastAsia="宋体" w:cs="宋体"/>
                <w:color w:val="000000"/>
                <w:sz w:val="22"/>
                <w:szCs w:val="22"/>
                <w:highlight w:val="none"/>
                <w:lang w:val="en-US" w:eastAsia="zh-CN"/>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8C8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群众满意度</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414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603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r>
      <w:tr w14:paraId="06F3640A">
        <w:tblPrEx>
          <w:tblCellMar>
            <w:top w:w="0" w:type="dxa"/>
            <w:left w:w="108" w:type="dxa"/>
            <w:bottom w:w="0" w:type="dxa"/>
            <w:right w:w="108" w:type="dxa"/>
          </w:tblCellMar>
        </w:tblPrEx>
        <w:trPr>
          <w:trHeight w:val="567" w:hRule="exact"/>
        </w:trPr>
        <w:tc>
          <w:tcPr>
            <w:tcW w:w="6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50893">
            <w:pPr>
              <w:jc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04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D8C9">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95</w:t>
            </w:r>
          </w:p>
        </w:tc>
      </w:tr>
    </w:tbl>
    <w:p w14:paraId="25B73C81">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27" w:name="_Toc24795"/>
      <w:r>
        <w:rPr>
          <w:rFonts w:hint="eastAsia" w:ascii="楷体_GB2312" w:hAnsi="楷体_GB2312" w:eastAsia="楷体_GB2312" w:cs="楷体_GB2312"/>
          <w:b/>
          <w:lang w:val="en-US" w:eastAsia="zh-CN"/>
        </w:rPr>
        <w:t>（二）绩效分析</w:t>
      </w:r>
      <w:bookmarkEnd w:id="27"/>
    </w:p>
    <w:p w14:paraId="085E13B2">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1.通用指标分析</w:t>
      </w:r>
    </w:p>
    <w:p w14:paraId="2FF86A14">
      <w:pPr>
        <w:spacing w:line="590" w:lineRule="exact"/>
        <w:ind w:firstLine="640" w:firstLineChars="200"/>
        <w:rPr>
          <w:rFonts w:hint="eastAsia" w:ascii="仿宋" w:hAnsi="仿宋" w:eastAsia="仿宋" w:cs="Times New Roman"/>
          <w:b/>
          <w:bCs/>
          <w:kern w:val="2"/>
          <w:sz w:val="28"/>
          <w:szCs w:val="24"/>
          <w:highlight w:val="none"/>
          <w:lang w:val="en-US" w:eastAsia="zh-CN" w:bidi="ar-SA"/>
        </w:rPr>
      </w:pPr>
      <w:r>
        <w:rPr>
          <w:rFonts w:hint="eastAsia" w:ascii="Times New Roman" w:hAnsi="Times New Roman" w:cs="Times New Roman"/>
          <w:szCs w:val="32"/>
          <w:lang w:val="en-US" w:eastAsia="zh-CN"/>
        </w:rPr>
        <w:t>一级指标“通用指标”赋分</w:t>
      </w:r>
      <w:r>
        <w:rPr>
          <w:rFonts w:hint="eastAsia" w:cs="Times New Roman"/>
          <w:szCs w:val="32"/>
          <w:lang w:val="en-US" w:eastAsia="zh-CN"/>
        </w:rPr>
        <w:t>54</w:t>
      </w:r>
      <w:r>
        <w:rPr>
          <w:rFonts w:hint="eastAsia" w:ascii="Times New Roman" w:hAnsi="Times New Roman" w:cs="Times New Roman"/>
          <w:szCs w:val="32"/>
          <w:lang w:val="en-US" w:eastAsia="zh-CN"/>
        </w:rPr>
        <w:t>分，下设项目决策、项目管理、项目实施、项目结果4个二级指标，得分情况如表3-2：</w:t>
      </w:r>
    </w:p>
    <w:p w14:paraId="53EF85FB">
      <w:pPr>
        <w:pStyle w:val="14"/>
        <w:spacing w:after="0" w:line="590" w:lineRule="exact"/>
        <w:ind w:left="0" w:leftChars="0" w:firstLine="0" w:firstLineChars="0"/>
        <w:jc w:val="center"/>
        <w:rPr>
          <w:rFonts w:hint="eastAsia" w:ascii="仿宋" w:hAnsi="仿宋" w:eastAsia="仿宋" w:cs="Times New Roman"/>
          <w:b/>
          <w:bCs/>
          <w:kern w:val="2"/>
          <w:sz w:val="28"/>
          <w:szCs w:val="24"/>
          <w:highlight w:val="none"/>
          <w:lang w:val="en-US" w:eastAsia="zh-CN" w:bidi="ar-SA"/>
        </w:rPr>
      </w:pPr>
      <w:r>
        <w:rPr>
          <w:rFonts w:hint="eastAsia" w:ascii="仿宋" w:hAnsi="仿宋" w:eastAsia="仿宋" w:cs="Times New Roman"/>
          <w:b/>
          <w:bCs/>
          <w:kern w:val="2"/>
          <w:sz w:val="28"/>
          <w:szCs w:val="24"/>
          <w:highlight w:val="none"/>
          <w:lang w:val="en-US" w:eastAsia="zh-CN" w:bidi="ar-SA"/>
        </w:rPr>
        <w:t>表3-2  通用指标得分情况表</w:t>
      </w:r>
    </w:p>
    <w:tbl>
      <w:tblPr>
        <w:tblStyle w:val="15"/>
        <w:tblW w:w="8519" w:type="dxa"/>
        <w:tblInd w:w="0" w:type="dxa"/>
        <w:tblLayout w:type="fixed"/>
        <w:tblCellMar>
          <w:top w:w="0" w:type="dxa"/>
          <w:left w:w="108" w:type="dxa"/>
          <w:bottom w:w="0" w:type="dxa"/>
          <w:right w:w="108" w:type="dxa"/>
        </w:tblCellMar>
      </w:tblPr>
      <w:tblGrid>
        <w:gridCol w:w="1239"/>
        <w:gridCol w:w="2049"/>
        <w:gridCol w:w="1554"/>
        <w:gridCol w:w="1125"/>
        <w:gridCol w:w="1174"/>
        <w:gridCol w:w="1378"/>
      </w:tblGrid>
      <w:tr w14:paraId="47F90D8E">
        <w:tblPrEx>
          <w:tblCellMar>
            <w:top w:w="0" w:type="dxa"/>
            <w:left w:w="108" w:type="dxa"/>
            <w:bottom w:w="0" w:type="dxa"/>
            <w:right w:w="108"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E0F7">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一级指标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F2CF">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二级指标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9B2">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三级指标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6E81">
            <w:pPr>
              <w:widowControl/>
              <w:jc w:val="center"/>
              <w:textAlignment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kern w:val="0"/>
                <w:sz w:val="24"/>
                <w:szCs w:val="24"/>
                <w:highlight w:val="none"/>
                <w:lang w:val="en-US" w:eastAsia="zh-CN" w:bidi="ar"/>
              </w:rPr>
              <w:t>分值</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9D1F">
            <w:pPr>
              <w:widowControl/>
              <w:jc w:val="center"/>
              <w:textAlignment w:val="center"/>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C0EC">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得分率</w:t>
            </w:r>
          </w:p>
        </w:tc>
      </w:tr>
      <w:tr w14:paraId="3691C576">
        <w:tblPrEx>
          <w:tblCellMar>
            <w:top w:w="0" w:type="dxa"/>
            <w:left w:w="108" w:type="dxa"/>
            <w:bottom w:w="0" w:type="dxa"/>
            <w:right w:w="108" w:type="dxa"/>
          </w:tblCellMar>
        </w:tblPrEx>
        <w:trPr>
          <w:trHeight w:val="454" w:hRule="exac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2D366">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通用指标（54分）</w:t>
            </w: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4E9C2">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项目决策</w:t>
            </w:r>
          </w:p>
          <w:p w14:paraId="0DF2C0B9">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（18分）</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01D6">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决策程序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71E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92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06B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36855452">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59D1">
            <w:pPr>
              <w:jc w:val="center"/>
              <w:rPr>
                <w:rFonts w:ascii="宋体" w:hAnsi="宋体" w:eastAsia="宋体" w:cs="宋体"/>
                <w:color w:val="000000"/>
                <w:sz w:val="22"/>
                <w:szCs w:val="22"/>
                <w:highlight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0E41">
            <w:pPr>
              <w:jc w:val="center"/>
              <w:rPr>
                <w:rFonts w:ascii="宋体" w:hAnsi="宋体" w:eastAsia="宋体" w:cs="宋体"/>
                <w:color w:val="000000"/>
                <w:sz w:val="22"/>
                <w:szCs w:val="22"/>
                <w:highlight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F840">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规划论证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0F11">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B93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63C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5A197ED1">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E4CB">
            <w:pPr>
              <w:jc w:val="center"/>
              <w:rPr>
                <w:rFonts w:ascii="宋体" w:hAnsi="宋体" w:eastAsia="宋体" w:cs="宋体"/>
                <w:color w:val="000000"/>
                <w:sz w:val="22"/>
                <w:szCs w:val="22"/>
                <w:highlight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3B6A">
            <w:pPr>
              <w:widowControl/>
              <w:jc w:val="center"/>
              <w:textAlignment w:val="center"/>
              <w:rPr>
                <w:rFonts w:ascii="宋体" w:hAnsi="宋体" w:eastAsia="宋体" w:cs="宋体"/>
                <w:color w:val="000000"/>
                <w:sz w:val="22"/>
                <w:szCs w:val="22"/>
                <w:highlight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78F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资金投向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B411">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0A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093">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6FE9D05B">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B3A9">
            <w:pPr>
              <w:jc w:val="center"/>
              <w:rPr>
                <w:rFonts w:ascii="宋体" w:hAnsi="宋体" w:eastAsia="宋体" w:cs="宋体"/>
                <w:color w:val="000000"/>
                <w:sz w:val="22"/>
                <w:szCs w:val="22"/>
                <w:highlight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1DF2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项目管理</w:t>
            </w:r>
          </w:p>
          <w:p w14:paraId="6F90E2FA">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（18分）</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F1C3">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制度办法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3D76">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CDD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45F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1A420909">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B4E0">
            <w:pPr>
              <w:jc w:val="center"/>
              <w:rPr>
                <w:rFonts w:ascii="宋体" w:hAnsi="宋体" w:eastAsia="宋体" w:cs="宋体"/>
                <w:color w:val="000000"/>
                <w:sz w:val="22"/>
                <w:szCs w:val="22"/>
                <w:highlight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B182">
            <w:pPr>
              <w:widowControl/>
              <w:jc w:val="center"/>
              <w:textAlignment w:val="center"/>
              <w:rPr>
                <w:rFonts w:ascii="宋体" w:hAnsi="宋体" w:eastAsia="宋体" w:cs="宋体"/>
                <w:color w:val="000000"/>
                <w:sz w:val="22"/>
                <w:szCs w:val="22"/>
                <w:highlight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503C">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分配管理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DD2">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923E">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1B0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2C444850">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1F2C">
            <w:pPr>
              <w:jc w:val="center"/>
              <w:rPr>
                <w:rFonts w:ascii="宋体" w:hAnsi="宋体" w:eastAsia="宋体" w:cs="宋体"/>
                <w:color w:val="000000"/>
                <w:sz w:val="22"/>
                <w:szCs w:val="22"/>
                <w:highlight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D729">
            <w:pPr>
              <w:jc w:val="center"/>
              <w:rPr>
                <w:rFonts w:ascii="宋体" w:hAnsi="宋体" w:eastAsia="宋体" w:cs="宋体"/>
                <w:color w:val="000000"/>
                <w:sz w:val="22"/>
                <w:szCs w:val="22"/>
                <w:highlight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2E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绩效监管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7F74">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46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E49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66.67%</w:t>
            </w:r>
          </w:p>
        </w:tc>
      </w:tr>
      <w:tr w14:paraId="48E5FA09">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D12A">
            <w:pPr>
              <w:widowControl/>
              <w:jc w:val="center"/>
              <w:textAlignment w:val="center"/>
              <w:rPr>
                <w:rFonts w:ascii="宋体" w:hAnsi="宋体" w:eastAsia="宋体" w:cs="宋体"/>
                <w:color w:val="000000"/>
                <w:sz w:val="22"/>
                <w:szCs w:val="22"/>
                <w:highlight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E4CFE">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项目实施</w:t>
            </w:r>
          </w:p>
          <w:p w14:paraId="49FD13E6">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（9分）</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E8B4">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预算执行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84B5">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151A">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85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4EA06A43">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06E2">
            <w:pPr>
              <w:jc w:val="center"/>
              <w:rPr>
                <w:rFonts w:ascii="宋体" w:hAnsi="宋体" w:eastAsia="宋体" w:cs="宋体"/>
                <w:color w:val="000000"/>
                <w:sz w:val="22"/>
                <w:szCs w:val="22"/>
                <w:highlight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4EE4">
            <w:pPr>
              <w:jc w:val="center"/>
              <w:rPr>
                <w:rFonts w:ascii="宋体" w:hAnsi="宋体" w:eastAsia="宋体" w:cs="宋体"/>
                <w:color w:val="000000"/>
                <w:sz w:val="22"/>
                <w:szCs w:val="22"/>
                <w:highlight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5C2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资金使用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0938">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F756">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7CA">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4E9904CB">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0FAB">
            <w:pPr>
              <w:jc w:val="center"/>
              <w:rPr>
                <w:rFonts w:ascii="宋体" w:hAnsi="宋体" w:eastAsia="宋体" w:cs="宋体"/>
                <w:color w:val="000000"/>
                <w:sz w:val="22"/>
                <w:szCs w:val="22"/>
                <w:highlight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0551">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项目结果</w:t>
            </w:r>
          </w:p>
          <w:p w14:paraId="6315E645">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（9分）</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46B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目标完成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5A02">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284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val="en-US" w:eastAsia="zh-CN"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8264">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3E0D4466">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928F">
            <w:pPr>
              <w:jc w:val="center"/>
              <w:rPr>
                <w:rFonts w:ascii="宋体" w:hAnsi="宋体" w:eastAsia="宋体" w:cs="宋体"/>
                <w:color w:val="000000"/>
                <w:sz w:val="22"/>
                <w:szCs w:val="22"/>
                <w:highlight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10">
            <w:pPr>
              <w:widowControl/>
              <w:jc w:val="center"/>
              <w:textAlignment w:val="center"/>
              <w:rPr>
                <w:rFonts w:ascii="宋体" w:hAnsi="宋体" w:eastAsia="宋体" w:cs="宋体"/>
                <w:color w:val="000000"/>
                <w:sz w:val="22"/>
                <w:szCs w:val="22"/>
                <w:highlight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1D3">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完成时效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76A2">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EB6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7CF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100.00%</w:t>
            </w:r>
          </w:p>
        </w:tc>
      </w:tr>
      <w:tr w14:paraId="130EA744">
        <w:tblPrEx>
          <w:tblCellMar>
            <w:top w:w="0" w:type="dxa"/>
            <w:left w:w="108" w:type="dxa"/>
            <w:bottom w:w="0" w:type="dxa"/>
            <w:right w:w="108" w:type="dxa"/>
          </w:tblCellMar>
        </w:tblPrEx>
        <w:trPr>
          <w:trHeight w:val="454" w:hRule="exact"/>
        </w:trPr>
        <w:tc>
          <w:tcPr>
            <w:tcW w:w="4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87739">
            <w:pPr>
              <w:widowControl/>
              <w:jc w:val="center"/>
              <w:textAlignment w:val="center"/>
              <w:rPr>
                <w:rFonts w:hint="eastAsia" w:ascii="宋体" w:hAnsi="宋体" w:eastAsia="宋体" w:cs="宋体"/>
                <w:b/>
                <w:bCs/>
                <w:color w:val="000000"/>
                <w:kern w:val="0"/>
                <w:sz w:val="22"/>
                <w:szCs w:val="22"/>
                <w:highlight w:val="none"/>
                <w:lang w:val="en-US" w:eastAsia="zh-CN" w:bidi="ar"/>
              </w:rPr>
            </w:pPr>
            <w:r>
              <w:rPr>
                <w:rFonts w:hint="eastAsia" w:ascii="宋体" w:hAnsi="宋体" w:eastAsia="宋体" w:cs="宋体"/>
                <w:b/>
                <w:bCs/>
                <w:color w:val="000000"/>
                <w:sz w:val="22"/>
                <w:szCs w:val="22"/>
                <w:highlight w:val="none"/>
                <w:lang w:val="en-US" w:eastAsia="zh-CN"/>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064">
            <w:pPr>
              <w:widowControl/>
              <w:jc w:val="center"/>
              <w:textAlignment w:val="center"/>
              <w:rPr>
                <w:rFonts w:hint="default" w:ascii="宋体" w:hAnsi="宋体" w:eastAsia="宋体" w:cs="宋体"/>
                <w:b/>
                <w:bCs/>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54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2AAD">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AFC">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96.3%</w:t>
            </w:r>
          </w:p>
        </w:tc>
      </w:tr>
    </w:tbl>
    <w:p w14:paraId="2381A55B">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（1）项目决策指标分析（18分）</w:t>
      </w:r>
    </w:p>
    <w:p w14:paraId="6EF29DA6">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“项目决策”从“决策程序”“规划论证”和“资金投向”3个三级指标进行评价。</w:t>
      </w:r>
    </w:p>
    <w:p w14:paraId="2E19F140">
      <w:pPr>
        <w:spacing w:line="600" w:lineRule="exact"/>
        <w:ind w:firstLine="640" w:firstLineChars="200"/>
        <w:rPr>
          <w:rFonts w:ascii="仿宋_GB2312" w:hAnsi="仿宋_GB2312" w:cs="仿宋_GB2312"/>
        </w:rPr>
      </w:pPr>
      <w:r>
        <w:rPr>
          <w:rFonts w:hint="eastAsia" w:ascii="仿宋_GB2312" w:hAnsi="仿宋_GB2312" w:cs="仿宋_GB2312"/>
        </w:rPr>
        <w:t>①</w:t>
      </w:r>
      <w:r>
        <w:rPr>
          <w:rFonts w:hint="eastAsia" w:ascii="仿宋_GB2312" w:hAnsi="仿宋_GB2312" w:cs="仿宋_GB2312"/>
          <w:lang w:val="en-US" w:eastAsia="zh-CN"/>
        </w:rPr>
        <w:t>决策程序</w:t>
      </w:r>
    </w:p>
    <w:p w14:paraId="49D0D1FA">
      <w:pPr>
        <w:spacing w:line="590" w:lineRule="exact"/>
        <w:ind w:firstLine="640" w:firstLineChars="200"/>
        <w:rPr>
          <w:rFonts w:ascii="仿宋_GB2312" w:hAnsi="仿宋_GB2312" w:cs="仿宋_GB2312"/>
        </w:rPr>
      </w:pPr>
      <w:r>
        <w:rPr>
          <w:rFonts w:hint="eastAsia" w:ascii="仿宋_GB2312" w:hAnsi="仿宋_GB2312" w:cs="仿宋_GB2312"/>
        </w:rPr>
        <w:t>该指标评价项目设立、调整延续等方面是否符合资金管理基本规范和决策程序要求。</w:t>
      </w:r>
    </w:p>
    <w:p w14:paraId="093C2FDE">
      <w:pPr>
        <w:spacing w:line="590" w:lineRule="exact"/>
        <w:ind w:firstLine="640" w:firstLineChars="200"/>
        <w:rPr>
          <w:rFonts w:hint="eastAsia" w:ascii="仿宋_GB2312" w:hAnsi="仿宋_GB2312" w:cs="仿宋_GB2312"/>
        </w:rPr>
      </w:pPr>
      <w:r>
        <w:rPr>
          <w:rFonts w:hint="eastAsia" w:ascii="仿宋_GB2312" w:hAnsi="仿宋_GB2312" w:cs="仿宋_GB2312"/>
        </w:rPr>
        <w:t>评价结果：</w:t>
      </w:r>
      <w:r>
        <w:rPr>
          <w:rFonts w:hint="eastAsia" w:ascii="仿宋_GB2312" w:hAnsi="仿宋_GB2312" w:cs="仿宋_GB2312"/>
          <w:highlight w:val="none"/>
          <w:lang w:val="en-US" w:eastAsia="zh-CN"/>
        </w:rPr>
        <w:t>该项目经岳池县人民政府批准设立，与岳池县农业农村局“巩固拓展脱贫攻坚成果同乡村振兴有效衔接、统筹农村劳动力就业帮扶与农民增收、管理财政衔接推进乡村振兴补助资金、推动农村公益事业发展与基础设施管护”的职能职责相符。项目的设立符合市县两级主管部门的管理基本规范和决策程序，与部门的职责相符，属于该部门履职所需，符合地方事权支出责任划分原则。</w:t>
      </w:r>
    </w:p>
    <w:p w14:paraId="5CF44C88">
      <w:pPr>
        <w:spacing w:line="590" w:lineRule="exact"/>
        <w:ind w:firstLine="640" w:firstLineChars="200"/>
        <w:rPr>
          <w:rFonts w:hint="eastAsia" w:ascii="Times New Roman" w:hAnsi="Times New Roman" w:cs="Times New Roman"/>
          <w:szCs w:val="32"/>
          <w:lang w:val="en-US" w:eastAsia="zh-CN"/>
        </w:rPr>
      </w:pPr>
      <w:r>
        <w:rPr>
          <w:rFonts w:ascii="仿宋_GB2312" w:hAnsi="仿宋_GB2312" w:cs="仿宋_GB2312"/>
        </w:rPr>
        <w:t>综上，</w:t>
      </w:r>
      <w:r>
        <w:rPr>
          <w:rFonts w:hint="eastAsia" w:ascii="Times New Roman" w:hAnsi="Times New Roman" w:cs="Times New Roman"/>
          <w:szCs w:val="32"/>
          <w:lang w:val="en-US" w:eastAsia="zh-CN"/>
        </w:rPr>
        <w:t>该指标6分，评价得分6分。</w:t>
      </w:r>
    </w:p>
    <w:p w14:paraId="0A074701">
      <w:pPr>
        <w:spacing w:line="600" w:lineRule="exact"/>
        <w:ind w:firstLine="640" w:firstLineChars="200"/>
        <w:rPr>
          <w:rFonts w:hint="eastAsia" w:ascii="仿宋_GB2312" w:hAnsi="仿宋_GB2312" w:eastAsia="仿宋_GB2312" w:cs="仿宋_GB2312"/>
          <w:lang w:eastAsia="zh-CN"/>
        </w:rPr>
      </w:pPr>
      <w:r>
        <w:rPr>
          <w:rFonts w:hint="eastAsia" w:ascii="仿宋_GB2312" w:hAnsi="仿宋_GB2312" w:cs="仿宋_GB2312"/>
        </w:rPr>
        <w:t>②规划论证</w:t>
      </w:r>
    </w:p>
    <w:p w14:paraId="463CD2B2">
      <w:pPr>
        <w:spacing w:line="590" w:lineRule="exact"/>
        <w:ind w:firstLine="640" w:firstLineChars="200"/>
        <w:rPr>
          <w:rFonts w:ascii="仿宋_GB2312" w:hAnsi="仿宋_GB2312" w:cs="仿宋_GB2312"/>
        </w:rPr>
      </w:pPr>
      <w:r>
        <w:rPr>
          <w:rFonts w:hint="eastAsia" w:ascii="仿宋_GB2312" w:hAnsi="仿宋_GB2312" w:cs="仿宋_GB2312"/>
        </w:rPr>
        <w:t>该指标主要</w:t>
      </w:r>
      <w:r>
        <w:t>用于评价</w:t>
      </w:r>
      <w:r>
        <w:rPr>
          <w:rFonts w:hint="eastAsia"/>
        </w:rPr>
        <w:t>项目规划论证是否符合中省要求，项目绩效目标设置是否科学合理</w:t>
      </w:r>
      <w:r>
        <w:rPr>
          <w:rFonts w:ascii="仿宋_GB2312" w:hAnsi="仿宋_GB2312" w:cs="仿宋_GB2312"/>
        </w:rPr>
        <w:t>。</w:t>
      </w:r>
    </w:p>
    <w:p w14:paraId="33707920">
      <w:pPr>
        <w:spacing w:line="590" w:lineRule="exact"/>
        <w:ind w:firstLine="640" w:firstLineChars="200"/>
        <w:rPr>
          <w:rFonts w:hint="default" w:ascii="仿宋_GB2312" w:hAnsi="仿宋_GB2312" w:eastAsia="仿宋_GB2312" w:cs="仿宋_GB2312"/>
          <w:lang w:val="en-US" w:eastAsia="zh-CN"/>
        </w:rPr>
      </w:pPr>
      <w:r>
        <w:rPr>
          <w:rFonts w:hint="eastAsia" w:ascii="仿宋_GB2312" w:hAnsi="仿宋_GB2312" w:cs="仿宋_GB2312"/>
        </w:rPr>
        <w:t>评价结果：</w:t>
      </w:r>
      <w:r>
        <w:rPr>
          <w:rFonts w:hint="eastAsia" w:ascii="仿宋_GB2312" w:hAnsi="仿宋_GB2312" w:cs="仿宋_GB2312"/>
          <w:highlight w:val="none"/>
          <w:lang w:val="en-US" w:eastAsia="zh-CN"/>
        </w:rPr>
        <w:t>该项目符合</w:t>
      </w:r>
      <w:r>
        <w:rPr>
          <w:rFonts w:hint="eastAsia" w:cs="Times New Roman"/>
          <w:szCs w:val="32"/>
          <w:lang w:val="en-US" w:eastAsia="zh-CN"/>
        </w:rPr>
        <w:t>《关于印发〈广安市促进脱贫人口增收致富让脱贫群众生活更上一层楼行动2025年度工作方案〉的通知》（广乡振专办〔2025〕1号）要求，切实巩固拓展脱贫攻坚成果，促进脱贫人口在2025年持续增收致富。</w:t>
      </w:r>
      <w:r>
        <w:rPr>
          <w:rFonts w:hint="eastAsia" w:ascii="Times New Roman" w:hAnsi="Times New Roman" w:cs="Times New Roman"/>
          <w:szCs w:val="32"/>
          <w:lang w:val="en-US" w:eastAsia="zh-CN"/>
        </w:rPr>
        <w:t>绩效目标设置</w:t>
      </w:r>
      <w:r>
        <w:rPr>
          <w:rFonts w:hint="eastAsia" w:cs="Times New Roman"/>
          <w:szCs w:val="32"/>
          <w:lang w:val="en-US" w:eastAsia="zh-CN"/>
        </w:rPr>
        <w:t>科学合理、</w:t>
      </w:r>
      <w:r>
        <w:rPr>
          <w:rFonts w:hint="eastAsia" w:ascii="Times New Roman" w:hAnsi="Times New Roman" w:cs="Times New Roman"/>
          <w:szCs w:val="32"/>
          <w:lang w:val="en-US" w:eastAsia="zh-CN"/>
        </w:rPr>
        <w:t>细化</w:t>
      </w:r>
      <w:r>
        <w:rPr>
          <w:rFonts w:hint="eastAsia" w:cs="Times New Roman"/>
          <w:szCs w:val="32"/>
          <w:lang w:val="en-US" w:eastAsia="zh-CN"/>
        </w:rPr>
        <w:t>、量化，与预算相匹配，不存在</w:t>
      </w:r>
      <w:r>
        <w:rPr>
          <w:rFonts w:hint="eastAsia" w:ascii="仿宋_GB2312" w:hAnsi="仿宋_GB2312" w:cs="仿宋_GB2312"/>
          <w:lang w:val="en-US" w:eastAsia="zh-CN"/>
        </w:rPr>
        <w:t>项目总体绩效目标设置合理性偏离情况。</w:t>
      </w:r>
    </w:p>
    <w:p w14:paraId="43765FB0">
      <w:pPr>
        <w:spacing w:line="590" w:lineRule="exact"/>
        <w:ind w:firstLine="640" w:firstLineChars="200"/>
        <w:rPr>
          <w:rFonts w:hint="eastAsia" w:ascii="Times New Roman" w:hAnsi="Times New Roman" w:cs="Times New Roman"/>
          <w:szCs w:val="32"/>
          <w:lang w:val="en-US" w:eastAsia="zh-CN"/>
        </w:rPr>
      </w:pPr>
      <w:r>
        <w:rPr>
          <w:rFonts w:ascii="仿宋_GB2312" w:hAnsi="仿宋_GB2312" w:cs="仿宋_GB2312"/>
        </w:rPr>
        <w:t>综上，</w:t>
      </w:r>
      <w:r>
        <w:rPr>
          <w:rFonts w:hint="eastAsia" w:ascii="Times New Roman" w:hAnsi="Times New Roman" w:cs="Times New Roman"/>
          <w:szCs w:val="32"/>
          <w:lang w:val="en-US" w:eastAsia="zh-CN"/>
        </w:rPr>
        <w:t>该指标6分，评价得分6分。</w:t>
      </w:r>
    </w:p>
    <w:p w14:paraId="698326C1">
      <w:pPr>
        <w:spacing w:line="600" w:lineRule="exact"/>
        <w:ind w:firstLine="640" w:firstLineChars="200"/>
        <w:rPr>
          <w:rFonts w:hint="eastAsia" w:ascii="仿宋_GB2312" w:hAnsi="仿宋_GB2312" w:cs="仿宋_GB2312"/>
          <w:lang w:val="en-US" w:eastAsia="zh-CN"/>
        </w:rPr>
      </w:pPr>
      <w:r>
        <w:rPr>
          <w:rFonts w:hint="default" w:ascii="仿宋_GB2312" w:hAnsi="仿宋_GB2312" w:cs="仿宋_GB2312"/>
        </w:rPr>
        <w:t>③</w:t>
      </w:r>
      <w:r>
        <w:rPr>
          <w:rFonts w:hint="eastAsia" w:ascii="仿宋_GB2312" w:hAnsi="仿宋_GB2312" w:cs="仿宋_GB2312"/>
          <w:lang w:val="en-US" w:eastAsia="zh-CN"/>
        </w:rPr>
        <w:t>资金投向</w:t>
      </w:r>
    </w:p>
    <w:p w14:paraId="6D877C9E">
      <w:pPr>
        <w:spacing w:line="600" w:lineRule="exact"/>
        <w:ind w:firstLine="640" w:firstLineChars="200"/>
        <w:rPr>
          <w:rFonts w:hint="default" w:ascii="仿宋_GB2312" w:hAnsi="仿宋_GB2312" w:cs="仿宋_GB2312"/>
          <w:lang w:val="en-US" w:eastAsia="zh-CN"/>
        </w:rPr>
      </w:pPr>
      <w:r>
        <w:rPr>
          <w:rFonts w:hint="eastAsia" w:ascii="仿宋_GB2312" w:hAnsi="仿宋_GB2312" w:cs="仿宋_GB2312"/>
          <w:lang w:val="en-US" w:eastAsia="zh-CN"/>
        </w:rPr>
        <w:t>该指标主要用于评价</w:t>
      </w:r>
      <w:r>
        <w:rPr>
          <w:rFonts w:hint="default" w:ascii="仿宋_GB2312" w:hAnsi="仿宋_GB2312" w:cs="仿宋_GB2312"/>
          <w:lang w:val="en-US" w:eastAsia="zh-CN"/>
        </w:rPr>
        <w:t>项目资金是否与项目总体规划、相关行业事业发展相匹配，是否聚焦重大任务、重点领域、重点环节和重点项目</w:t>
      </w:r>
      <w:r>
        <w:rPr>
          <w:rFonts w:hint="eastAsia" w:ascii="仿宋_GB2312" w:hAnsi="仿宋_GB2312" w:cs="仿宋_GB2312"/>
          <w:lang w:val="en-US" w:eastAsia="zh-CN"/>
        </w:rPr>
        <w:t>。</w:t>
      </w:r>
    </w:p>
    <w:p w14:paraId="745CCAEA">
      <w:pPr>
        <w:adjustRightInd w:val="0"/>
        <w:snapToGrid w:val="0"/>
        <w:spacing w:line="560" w:lineRule="exact"/>
        <w:ind w:firstLine="640" w:firstLineChars="200"/>
        <w:rPr>
          <w:rFonts w:hint="default" w:ascii="仿宋_GB2312" w:hAnsi="仿宋_GB2312" w:cs="仿宋_GB2312"/>
          <w:lang w:val="en-US" w:eastAsia="zh-CN"/>
        </w:rPr>
      </w:pPr>
      <w:r>
        <w:rPr>
          <w:rFonts w:ascii="仿宋_GB2312" w:hAnsi="仿宋_GB2312" w:cs="仿宋_GB2312"/>
        </w:rPr>
        <w:t>评价结果：</w:t>
      </w:r>
      <w:r>
        <w:rPr>
          <w:rFonts w:hint="eastAsia" w:ascii="Times New Roman" w:hAnsi="Times New Roman" w:cs="Times New Roman"/>
          <w:szCs w:val="32"/>
          <w:highlight w:val="none"/>
          <w:lang w:val="en-US" w:eastAsia="zh-CN"/>
        </w:rPr>
        <w:t>该</w:t>
      </w:r>
      <w:r>
        <w:rPr>
          <w:rFonts w:hint="eastAsia" w:ascii="仿宋_GB2312" w:hAnsi="仿宋_GB2312" w:cs="仿宋_GB2312"/>
          <w:lang w:val="en-US" w:eastAsia="zh-CN"/>
        </w:rPr>
        <w:t>项目</w:t>
      </w:r>
      <w:r>
        <w:rPr>
          <w:rFonts w:hint="eastAsia" w:ascii="仿宋_GB2312" w:hAnsi="仿宋_GB2312" w:cs="仿宋_GB2312"/>
        </w:rPr>
        <w:t>资金</w:t>
      </w:r>
      <w:r>
        <w:rPr>
          <w:rFonts w:hint="eastAsia" w:ascii="仿宋_GB2312" w:hAnsi="仿宋_GB2312" w:cs="仿宋_GB2312"/>
          <w:lang w:val="en-US" w:eastAsia="zh-CN"/>
        </w:rPr>
        <w:t>用于脱贫户、监测户</w:t>
      </w:r>
      <w:r>
        <w:rPr>
          <w:rFonts w:hint="eastAsia" w:ascii="Times New Roman" w:hAnsi="Times New Roman" w:cs="Times New Roman"/>
          <w:szCs w:val="32"/>
          <w:highlight w:val="none"/>
          <w:lang w:val="en-US" w:eastAsia="zh-CN"/>
        </w:rPr>
        <w:t>外出务工交通补助</w:t>
      </w:r>
      <w:r>
        <w:rPr>
          <w:rFonts w:hint="eastAsia" w:ascii="仿宋_GB2312" w:hAnsi="仿宋_GB2312" w:cs="仿宋_GB2312"/>
        </w:rPr>
        <w:t>，投向与“促进脱贫人口、监测对象稳岗就业”的项目总体规划高度契合，也符合乡村振兴、就业帮扶的行业事业发展方向，属于聚焦脱贫攻坚成果巩固的重点领域</w:t>
      </w:r>
      <w:r>
        <w:rPr>
          <w:rFonts w:hint="eastAsia" w:ascii="仿宋_GB2312" w:hAnsi="仿宋_GB2312" w:cs="仿宋_GB2312"/>
          <w:lang w:val="en-US" w:eastAsia="zh-CN"/>
        </w:rPr>
        <w:t>，</w:t>
      </w:r>
      <w:r>
        <w:rPr>
          <w:rFonts w:hint="default" w:ascii="仿宋_GB2312" w:hAnsi="仿宋_GB2312" w:cs="仿宋_GB2312"/>
          <w:lang w:val="en-US" w:eastAsia="zh-CN"/>
        </w:rPr>
        <w:t>属于政府支持范围，符合财政事权支出责任划分规定</w:t>
      </w:r>
      <w:r>
        <w:rPr>
          <w:rFonts w:hint="eastAsia" w:ascii="仿宋_GB2312" w:hAnsi="仿宋_GB2312" w:cs="仿宋_GB2312"/>
          <w:lang w:val="en-US" w:eastAsia="zh-CN"/>
        </w:rPr>
        <w:t>。</w:t>
      </w:r>
    </w:p>
    <w:p w14:paraId="019F23A7">
      <w:pPr>
        <w:spacing w:line="590" w:lineRule="exact"/>
        <w:ind w:firstLine="640" w:firstLineChars="200"/>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综上，该指标6分，评价得分6分。</w:t>
      </w:r>
    </w:p>
    <w:p w14:paraId="3DAA3F4F">
      <w:pPr>
        <w:spacing w:line="590" w:lineRule="exact"/>
        <w:ind w:firstLine="640" w:firstLineChars="200"/>
        <w:rPr>
          <w:rFonts w:ascii="仿宋_GB2312" w:hAnsi="仿宋_GB2312" w:cs="仿宋_GB2312"/>
        </w:rPr>
      </w:pPr>
      <w:r>
        <w:rPr>
          <w:rFonts w:hint="eastAsia" w:ascii="Times New Roman" w:hAnsi="Times New Roman" w:cs="Times New Roman"/>
          <w:szCs w:val="32"/>
          <w:lang w:val="en-US" w:eastAsia="zh-CN"/>
        </w:rPr>
        <w:t>（2）</w:t>
      </w:r>
      <w:r>
        <w:rPr>
          <w:rFonts w:hint="eastAsia" w:ascii="仿宋_GB2312" w:hAnsi="仿宋_GB2312" w:cs="仿宋_GB2312"/>
          <w:lang w:val="en-US" w:eastAsia="zh-CN"/>
        </w:rPr>
        <w:t>项目管理指标分析</w:t>
      </w:r>
      <w:r>
        <w:rPr>
          <w:rFonts w:hint="eastAsia" w:ascii="Times New Roman" w:hAnsi="Times New Roman" w:cs="Times New Roman"/>
          <w:szCs w:val="32"/>
          <w:lang w:val="en-US" w:eastAsia="zh-CN"/>
        </w:rPr>
        <w:t>（18分）</w:t>
      </w:r>
    </w:p>
    <w:p w14:paraId="76CA63AE">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“项目管理”从“制度办法”“分配管理”和“绩效监管”3个三级指标进行评价。</w:t>
      </w:r>
    </w:p>
    <w:p w14:paraId="64145495">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①制度办法</w:t>
      </w:r>
    </w:p>
    <w:p w14:paraId="36B6EEF3">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该指标主要用于评价项目制度办法是否体系健全、要素完备。</w:t>
      </w:r>
    </w:p>
    <w:p w14:paraId="5037F919">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评价结果：岳池县财政局 岳池县乡村振兴局 岳池县农业农村局</w:t>
      </w:r>
      <w:r>
        <w:rPr>
          <w:rFonts w:hint="eastAsia" w:cs="Times New Roman"/>
          <w:szCs w:val="32"/>
          <w:lang w:val="en-US" w:eastAsia="zh-CN"/>
        </w:rPr>
        <w:t>联合</w:t>
      </w:r>
      <w:r>
        <w:rPr>
          <w:rFonts w:hint="eastAsia" w:ascii="Times New Roman" w:hAnsi="Times New Roman" w:cs="Times New Roman"/>
          <w:szCs w:val="32"/>
          <w:lang w:val="en-US" w:eastAsia="zh-CN"/>
        </w:rPr>
        <w:t>印发《岳池县县级财政衔接推进乡村振兴补助资金管理办法》</w:t>
      </w:r>
      <w:r>
        <w:rPr>
          <w:rFonts w:hint="eastAsia" w:cs="Times New Roman"/>
          <w:szCs w:val="32"/>
          <w:lang w:val="en-US" w:eastAsia="zh-CN"/>
        </w:rPr>
        <w:t>，</w:t>
      </w:r>
      <w:r>
        <w:rPr>
          <w:rFonts w:hint="eastAsia" w:ascii="Times New Roman" w:hAnsi="Times New Roman" w:cs="Times New Roman"/>
          <w:szCs w:val="32"/>
          <w:lang w:val="en-US" w:eastAsia="zh-CN"/>
        </w:rPr>
        <w:t>该</w:t>
      </w:r>
      <w:r>
        <w:rPr>
          <w:rFonts w:hint="eastAsia" w:cs="Times New Roman"/>
          <w:szCs w:val="32"/>
          <w:lang w:val="en-US" w:eastAsia="zh-CN"/>
        </w:rPr>
        <w:t>办法对</w:t>
      </w:r>
      <w:r>
        <w:rPr>
          <w:rFonts w:hint="eastAsia" w:ascii="Times New Roman" w:hAnsi="Times New Roman" w:cs="Times New Roman"/>
          <w:szCs w:val="32"/>
          <w:lang w:val="en-US" w:eastAsia="zh-CN"/>
        </w:rPr>
        <w:t>资金使用、项目管理、部门职责、监督管理等维度作出了具体规定</w:t>
      </w:r>
      <w:r>
        <w:rPr>
          <w:rFonts w:hint="eastAsia" w:cs="Times New Roman"/>
          <w:szCs w:val="32"/>
          <w:lang w:val="en-US" w:eastAsia="zh-CN"/>
        </w:rPr>
        <w:t>，</w:t>
      </w:r>
      <w:r>
        <w:rPr>
          <w:rFonts w:hint="eastAsia" w:ascii="Times New Roman" w:hAnsi="Times New Roman" w:cs="Times New Roman"/>
          <w:szCs w:val="32"/>
          <w:lang w:val="en-US" w:eastAsia="zh-CN"/>
        </w:rPr>
        <w:t>体系健全、要素完备。</w:t>
      </w:r>
    </w:p>
    <w:p w14:paraId="029B2AE4">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综上，该指标2分，评价得分2分。</w:t>
      </w:r>
    </w:p>
    <w:p w14:paraId="56E342B8">
      <w:pPr>
        <w:spacing w:line="590" w:lineRule="exact"/>
        <w:ind w:firstLine="640" w:firstLineChars="200"/>
        <w:rPr>
          <w:rFonts w:ascii="仿宋_GB2312" w:hAnsi="仿宋_GB2312" w:cs="仿宋_GB2312"/>
        </w:rPr>
      </w:pPr>
      <w:r>
        <w:rPr>
          <w:rFonts w:hint="eastAsia" w:ascii="仿宋_GB2312" w:hAnsi="仿宋_GB2312" w:cs="仿宋_GB2312"/>
        </w:rPr>
        <w:t>②分配管理</w:t>
      </w:r>
    </w:p>
    <w:p w14:paraId="18F0CA8D">
      <w:pPr>
        <w:spacing w:line="590" w:lineRule="exact"/>
        <w:ind w:firstLine="640" w:firstLineChars="200"/>
        <w:rPr>
          <w:rFonts w:hint="eastAsia" w:ascii="仿宋_GB2312" w:hAnsi="仿宋_GB2312" w:cs="仿宋_GB2312"/>
          <w:lang w:eastAsia="zh-CN"/>
        </w:rPr>
      </w:pPr>
      <w:r>
        <w:rPr>
          <w:rFonts w:hint="eastAsia" w:ascii="仿宋_GB2312" w:hAnsi="仿宋_GB2312" w:cs="仿宋_GB2312"/>
          <w:lang w:val="en-US" w:eastAsia="zh-CN"/>
        </w:rPr>
        <w:t>该指标主要用于</w:t>
      </w:r>
      <w:r>
        <w:rPr>
          <w:rFonts w:hint="eastAsia" w:ascii="仿宋_GB2312" w:hAnsi="仿宋_GB2312" w:cs="仿宋_GB2312"/>
        </w:rPr>
        <w:t>评价项目资金分配因素选取、权重设置、区域分布，项目管理、审批是否符合管理要求</w:t>
      </w:r>
      <w:r>
        <w:rPr>
          <w:rFonts w:hint="eastAsia" w:ascii="仿宋_GB2312" w:hAnsi="仿宋_GB2312" w:cs="仿宋_GB2312"/>
          <w:lang w:eastAsia="zh-CN"/>
        </w:rPr>
        <w:t>。</w:t>
      </w:r>
    </w:p>
    <w:p w14:paraId="5429D1A8">
      <w:pPr>
        <w:spacing w:line="590" w:lineRule="exact"/>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评价结果：</w:t>
      </w:r>
      <w:r>
        <w:rPr>
          <w:rFonts w:hint="eastAsia" w:ascii="仿宋_GB2312" w:hAnsi="仿宋_GB2312" w:cs="仿宋_GB2312"/>
          <w:highlight w:val="none"/>
          <w:lang w:val="en-US" w:eastAsia="zh-CN"/>
        </w:rPr>
        <w:t>根据现场评价情况，项目资金主</w:t>
      </w:r>
      <w:r>
        <w:rPr>
          <w:rFonts w:hint="eastAsia" w:ascii="仿宋_GB2312" w:hAnsi="仿宋_GB2312" w:cs="仿宋_GB2312"/>
          <w:lang w:val="en-US" w:eastAsia="zh-CN"/>
        </w:rPr>
        <w:t>要用于岳池</w:t>
      </w:r>
      <w:r>
        <w:rPr>
          <w:rFonts w:hint="eastAsia" w:ascii="Times New Roman" w:hAnsi="Times New Roman" w:cs="Times New Roman"/>
          <w:szCs w:val="32"/>
          <w:lang w:val="en-US" w:eastAsia="zh-CN"/>
        </w:rPr>
        <w:t>县27个乡镇（街道）</w:t>
      </w:r>
      <w:r>
        <w:rPr>
          <w:rFonts w:hint="eastAsia" w:ascii="仿宋_GB2312" w:hAnsi="仿宋_GB2312" w:cs="仿宋_GB2312"/>
          <w:lang w:val="en-US" w:eastAsia="zh-CN"/>
        </w:rPr>
        <w:t>脱贫户、监测户</w:t>
      </w:r>
      <w:r>
        <w:rPr>
          <w:rFonts w:hint="eastAsia" w:ascii="Times New Roman" w:hAnsi="Times New Roman" w:cs="Times New Roman"/>
          <w:szCs w:val="32"/>
          <w:highlight w:val="none"/>
          <w:lang w:val="en-US" w:eastAsia="zh-CN"/>
        </w:rPr>
        <w:t>外出务工交通补助</w:t>
      </w:r>
      <w:r>
        <w:rPr>
          <w:rFonts w:hint="eastAsia" w:ascii="仿宋_GB2312" w:hAnsi="仿宋_GB2312" w:cs="仿宋_GB2312"/>
          <w:lang w:val="en-US" w:eastAsia="zh-CN"/>
        </w:rPr>
        <w:t>，</w:t>
      </w:r>
      <w:r>
        <w:rPr>
          <w:rFonts w:hint="eastAsia" w:ascii="仿宋_GB2312" w:hAnsi="仿宋_GB2312" w:cs="仿宋_GB2312"/>
        </w:rPr>
        <w:t>资金分配</w:t>
      </w:r>
      <w:r>
        <w:rPr>
          <w:rFonts w:hint="eastAsia" w:ascii="仿宋_GB2312" w:hAnsi="仿宋_GB2312" w:cs="仿宋_GB2312"/>
          <w:lang w:val="en-US" w:eastAsia="zh-CN"/>
        </w:rPr>
        <w:t>采用因素法，充分考虑补助对象外出务工实际情况，由乡镇核实报送、县农业农村局核实、县人力资源和社会保障局拨付的方式分配资金，</w:t>
      </w:r>
      <w:r>
        <w:rPr>
          <w:rFonts w:hint="eastAsia" w:ascii="仿宋_GB2312" w:hAnsi="仿宋_GB2312" w:cs="仿宋_GB2312"/>
        </w:rPr>
        <w:t>审批符合管理要求</w:t>
      </w:r>
      <w:r>
        <w:rPr>
          <w:rFonts w:hint="eastAsia" w:ascii="仿宋_GB2312" w:hAnsi="仿宋_GB2312" w:cs="仿宋_GB2312"/>
          <w:lang w:val="en-US" w:eastAsia="zh-CN"/>
        </w:rPr>
        <w:t>。</w:t>
      </w:r>
    </w:p>
    <w:p w14:paraId="59EAB5C3">
      <w:pPr>
        <w:spacing w:line="590" w:lineRule="exact"/>
        <w:ind w:firstLine="640" w:firstLineChars="200"/>
        <w:rPr>
          <w:rFonts w:hint="eastAsia" w:ascii="Times New Roman" w:hAnsi="Times New Roman" w:cs="Times New Roman"/>
          <w:szCs w:val="32"/>
          <w:lang w:val="en-US" w:eastAsia="zh-CN"/>
        </w:rPr>
      </w:pPr>
      <w:r>
        <w:rPr>
          <w:rFonts w:ascii="仿宋_GB2312" w:hAnsi="仿宋_GB2312" w:cs="仿宋_GB2312"/>
        </w:rPr>
        <w:t>综上，</w:t>
      </w:r>
      <w:r>
        <w:rPr>
          <w:rFonts w:hint="eastAsia" w:ascii="Times New Roman" w:hAnsi="Times New Roman" w:cs="Times New Roman"/>
          <w:szCs w:val="32"/>
          <w:lang w:val="en-US" w:eastAsia="zh-CN"/>
        </w:rPr>
        <w:t>该指标10分，评价得分10分。</w:t>
      </w:r>
    </w:p>
    <w:p w14:paraId="341E6609">
      <w:pPr>
        <w:spacing w:line="590" w:lineRule="exact"/>
        <w:ind w:firstLine="640" w:firstLineChars="200"/>
        <w:outlineLvl w:val="2"/>
        <w:rPr>
          <w:rFonts w:hint="eastAsia" w:ascii="仿宋_GB2312" w:hAnsi="仿宋_GB2312" w:cs="仿宋_GB2312"/>
        </w:rPr>
      </w:pPr>
      <w:bookmarkStart w:id="28" w:name="_Toc4545"/>
      <w:r>
        <w:rPr>
          <w:rFonts w:hint="default" w:ascii="仿宋_GB2312" w:hAnsi="仿宋_GB2312" w:cs="仿宋_GB2312"/>
        </w:rPr>
        <w:t>③绩效监管</w:t>
      </w:r>
      <w:bookmarkEnd w:id="28"/>
    </w:p>
    <w:p w14:paraId="03714C16">
      <w:pPr>
        <w:spacing w:line="590" w:lineRule="exact"/>
        <w:ind w:firstLine="640" w:firstLineChars="200"/>
        <w:outlineLvl w:val="2"/>
        <w:rPr>
          <w:rFonts w:hint="default" w:ascii="仿宋_GB2312" w:hAnsi="仿宋_GB2312" w:cs="仿宋_GB2312"/>
          <w:highlight w:val="yellow"/>
          <w:lang w:val="en-US" w:eastAsia="zh-CN"/>
        </w:rPr>
      </w:pPr>
      <w:bookmarkStart w:id="29" w:name="_Toc8688"/>
      <w:r>
        <w:rPr>
          <w:rFonts w:hint="eastAsia" w:ascii="仿宋_GB2312" w:hAnsi="仿宋_GB2312" w:cs="仿宋_GB2312"/>
          <w:lang w:val="en-US" w:eastAsia="zh-CN"/>
        </w:rPr>
        <w:t>该指标主要用于</w:t>
      </w:r>
      <w:r>
        <w:rPr>
          <w:rFonts w:hint="eastAsia" w:ascii="仿宋_GB2312" w:hAnsi="仿宋_GB2312" w:cs="仿宋_GB2312"/>
        </w:rPr>
        <w:t>评价项目绩效监管是否按要求开展，对下指导是否有力有效</w:t>
      </w:r>
      <w:r>
        <w:rPr>
          <w:rFonts w:hint="eastAsia" w:ascii="仿宋_GB2312" w:hAnsi="仿宋_GB2312" w:cs="仿宋_GB2312"/>
          <w:lang w:eastAsia="zh-CN"/>
        </w:rPr>
        <w:t>。</w:t>
      </w:r>
      <w:bookmarkEnd w:id="29"/>
    </w:p>
    <w:p w14:paraId="6460FF37">
      <w:pPr>
        <w:spacing w:line="590" w:lineRule="exact"/>
        <w:ind w:firstLine="640" w:firstLineChars="200"/>
        <w:rPr>
          <w:rFonts w:hint="default" w:ascii="Times New Roman" w:hAnsi="Times New Roman" w:cs="Times New Roman"/>
          <w:szCs w:val="32"/>
          <w:lang w:val="en-US" w:eastAsia="zh-CN"/>
        </w:rPr>
      </w:pPr>
      <w:r>
        <w:rPr>
          <w:rFonts w:hint="eastAsia" w:ascii="仿宋_GB2312" w:hAnsi="仿宋_GB2312" w:cs="仿宋_GB2312"/>
          <w:highlight w:val="none"/>
          <w:lang w:val="en-US" w:eastAsia="zh-CN"/>
        </w:rPr>
        <w:t>评价结果：</w:t>
      </w:r>
      <w:r>
        <w:rPr>
          <w:rFonts w:hint="eastAsia" w:ascii="Times New Roman" w:hAnsi="Times New Roman" w:cs="Times New Roman"/>
          <w:szCs w:val="32"/>
          <w:lang w:val="en-US" w:eastAsia="zh-CN"/>
        </w:rPr>
        <w:t>2024年，岳池县农业农村局编制项目支出绩效目标申报表，完成事前绩效管理</w:t>
      </w:r>
      <w:r>
        <w:rPr>
          <w:rFonts w:hint="eastAsia" w:cs="Times New Roman"/>
          <w:szCs w:val="32"/>
          <w:lang w:val="en-US" w:eastAsia="zh-CN"/>
        </w:rPr>
        <w:t>；</w:t>
      </w:r>
      <w:r>
        <w:rPr>
          <w:rFonts w:hint="eastAsia" w:ascii="Times New Roman" w:hAnsi="Times New Roman" w:cs="Times New Roman"/>
          <w:szCs w:val="32"/>
          <w:lang w:val="en-US" w:eastAsia="zh-CN"/>
        </w:rPr>
        <w:t>编制《绩效运行监控表》，完成事中绩效监控</w:t>
      </w:r>
      <w:r>
        <w:rPr>
          <w:rFonts w:hint="eastAsia" w:cs="Times New Roman"/>
          <w:szCs w:val="32"/>
          <w:lang w:val="en-US" w:eastAsia="zh-CN"/>
        </w:rPr>
        <w:t>；</w:t>
      </w:r>
      <w:r>
        <w:rPr>
          <w:rFonts w:hint="eastAsia" w:ascii="Times New Roman" w:hAnsi="Times New Roman" w:cs="Times New Roman"/>
          <w:szCs w:val="32"/>
          <w:lang w:val="en-US" w:eastAsia="zh-CN"/>
        </w:rPr>
        <w:t>2025年完成《绩效目标自评表》填报</w:t>
      </w:r>
      <w:r>
        <w:rPr>
          <w:rFonts w:hint="eastAsia"/>
          <w:highlight w:val="none"/>
          <w:lang w:val="en-US" w:eastAsia="zh-CN"/>
        </w:rPr>
        <w:t>和自评报告</w:t>
      </w:r>
      <w:r>
        <w:rPr>
          <w:rFonts w:hint="eastAsia" w:ascii="Times New Roman" w:hAnsi="Times New Roman" w:cs="Times New Roman"/>
          <w:szCs w:val="32"/>
          <w:lang w:val="en-US" w:eastAsia="zh-CN"/>
        </w:rPr>
        <w:t>，</w:t>
      </w:r>
      <w:r>
        <w:rPr>
          <w:rFonts w:hint="eastAsia"/>
          <w:highlight w:val="none"/>
          <w:lang w:val="en-US" w:eastAsia="zh-CN"/>
        </w:rPr>
        <w:t>但自评报告质量不高，未能对项目成效体系化梳理，绩效自评报告存在逻辑性不强的问题。</w:t>
      </w:r>
    </w:p>
    <w:p w14:paraId="10D2F012">
      <w:pPr>
        <w:spacing w:line="590" w:lineRule="exact"/>
        <w:ind w:firstLine="640" w:firstLineChars="200"/>
        <w:rPr>
          <w:rFonts w:hint="eastAsia" w:ascii="仿宋_GB2312" w:hAnsi="仿宋_GB2312" w:cs="仿宋_GB2312"/>
          <w:lang w:val="en-US" w:eastAsia="zh-CN"/>
        </w:rPr>
      </w:pPr>
      <w:r>
        <w:rPr>
          <w:rFonts w:hint="eastAsia" w:ascii="Times New Roman" w:hAnsi="Times New Roman" w:cs="Times New Roman"/>
          <w:szCs w:val="32"/>
          <w:lang w:val="en-US" w:eastAsia="zh-CN"/>
        </w:rPr>
        <w:t>综上，该指标6分，评价得分4分。</w:t>
      </w:r>
    </w:p>
    <w:p w14:paraId="69A264CB">
      <w:pPr>
        <w:spacing w:line="590" w:lineRule="exact"/>
        <w:ind w:firstLine="640" w:firstLineChars="200"/>
        <w:rPr>
          <w:rFonts w:hint="eastAsia" w:ascii="Times New Roman" w:hAnsi="Times New Roman" w:cs="Times New Roman"/>
          <w:szCs w:val="32"/>
          <w:lang w:val="en-US" w:eastAsia="zh-CN"/>
        </w:rPr>
      </w:pPr>
      <w:bookmarkStart w:id="30" w:name="_Toc7516"/>
      <w:r>
        <w:rPr>
          <w:rFonts w:hint="eastAsia" w:ascii="Times New Roman" w:hAnsi="Times New Roman" w:cs="Times New Roman"/>
          <w:szCs w:val="32"/>
          <w:lang w:val="en-US" w:eastAsia="zh-CN"/>
        </w:rPr>
        <w:t>（3）项目实施指标分析（9分）</w:t>
      </w:r>
      <w:bookmarkEnd w:id="30"/>
    </w:p>
    <w:p w14:paraId="59763848">
      <w:pPr>
        <w:spacing w:line="600" w:lineRule="exact"/>
        <w:ind w:firstLine="640" w:firstLineChars="200"/>
        <w:rPr>
          <w:rFonts w:hint="eastAsia" w:eastAsia="仿宋_GB2312"/>
          <w:lang w:eastAsia="zh-CN"/>
        </w:rPr>
      </w:pPr>
      <w:r>
        <w:rPr>
          <w:rFonts w:hint="eastAsia"/>
          <w:lang w:eastAsia="zh-CN"/>
        </w:rPr>
        <w:t>“</w:t>
      </w:r>
      <w:r>
        <w:rPr>
          <w:rFonts w:hint="eastAsia" w:ascii="仿宋_GB2312" w:hAnsi="仿宋_GB2312" w:cs="仿宋_GB2312"/>
        </w:rPr>
        <w:t>项目实施</w:t>
      </w:r>
      <w:r>
        <w:rPr>
          <w:rFonts w:hint="eastAsia"/>
          <w:lang w:eastAsia="zh-CN"/>
        </w:rPr>
        <w:t>”</w:t>
      </w:r>
      <w:r>
        <w:rPr>
          <w:rFonts w:hint="eastAsia"/>
          <w:lang w:val="en-US" w:eastAsia="zh-CN"/>
        </w:rPr>
        <w:t>从“预算执行”及“资金使用”</w:t>
      </w:r>
      <w:r>
        <w:rPr>
          <w:rFonts w:hint="eastAsia" w:ascii="Times New Roman" w:hAnsi="Times New Roman" w:cs="Times New Roman"/>
          <w:szCs w:val="32"/>
          <w:lang w:val="en-US" w:eastAsia="zh-CN"/>
        </w:rPr>
        <w:t>2个三</w:t>
      </w:r>
      <w:r>
        <w:rPr>
          <w:rFonts w:ascii="仿宋_GB2312" w:hAnsi="仿宋_GB2312" w:cs="仿宋_GB2312"/>
        </w:rPr>
        <w:t>级指标进行评价</w:t>
      </w:r>
      <w:r>
        <w:rPr>
          <w:rFonts w:hint="eastAsia"/>
          <w:lang w:eastAsia="zh-CN"/>
        </w:rPr>
        <w:t>。</w:t>
      </w:r>
    </w:p>
    <w:p w14:paraId="47DE14E4">
      <w:pPr>
        <w:spacing w:line="590" w:lineRule="exact"/>
        <w:ind w:firstLine="640" w:firstLineChars="200"/>
        <w:rPr>
          <w:rFonts w:ascii="仿宋_GB2312" w:hAnsi="仿宋_GB2312" w:cs="仿宋_GB2312"/>
        </w:rPr>
      </w:pPr>
      <w:r>
        <w:rPr>
          <w:rFonts w:hint="eastAsia" w:ascii="仿宋_GB2312" w:hAnsi="仿宋_GB2312" w:cs="仿宋_GB2312"/>
        </w:rPr>
        <w:t>①预算执行</w:t>
      </w:r>
    </w:p>
    <w:p w14:paraId="515B249E">
      <w:pPr>
        <w:spacing w:line="590" w:lineRule="exact"/>
        <w:ind w:firstLine="640" w:firstLineChars="200"/>
        <w:rPr>
          <w:rFonts w:ascii="仿宋_GB2312" w:hAnsi="仿宋_GB2312" w:cs="仿宋_GB2312"/>
        </w:rPr>
      </w:pPr>
      <w:r>
        <w:rPr>
          <w:rFonts w:hint="eastAsia" w:ascii="仿宋_GB2312" w:hAnsi="仿宋_GB2312" w:cs="仿宋_GB2312"/>
          <w:lang w:val="en-US" w:eastAsia="zh-CN"/>
        </w:rPr>
        <w:t>该指标主要用于</w:t>
      </w:r>
      <w:r>
        <w:rPr>
          <w:rFonts w:hint="eastAsia" w:ascii="仿宋_GB2312" w:hAnsi="仿宋_GB2312" w:cs="仿宋_GB2312"/>
        </w:rPr>
        <w:t>评价项目资金财政拨付、单位执行和地方配套到位情况</w:t>
      </w:r>
      <w:r>
        <w:rPr>
          <w:rFonts w:hint="eastAsia" w:ascii="仿宋_GB2312" w:hAnsi="仿宋_GB2312" w:cs="仿宋_GB2312"/>
          <w:lang w:eastAsia="zh-CN"/>
        </w:rPr>
        <w:t>。</w:t>
      </w:r>
    </w:p>
    <w:p w14:paraId="23B85315">
      <w:pPr>
        <w:spacing w:line="600" w:lineRule="exact"/>
        <w:ind w:firstLine="640" w:firstLineChars="200"/>
        <w:rPr>
          <w:rFonts w:hint="default" w:ascii="仿宋_GB2312" w:hAnsi="仿宋_GB2312" w:cs="仿宋_GB2312"/>
          <w:lang w:val="en-US" w:eastAsia="zh-CN"/>
        </w:rPr>
      </w:pPr>
      <w:r>
        <w:rPr>
          <w:rFonts w:hint="eastAsia" w:cs="Times New Roman"/>
          <w:szCs w:val="32"/>
          <w:lang w:val="en-US" w:eastAsia="zh-CN"/>
        </w:rPr>
        <w:t>评价结果：2025年，岳池县财政局批复“</w:t>
      </w:r>
      <w:r>
        <w:rPr>
          <w:rFonts w:hint="eastAsia" w:ascii="Times New Roman" w:hAnsi="Times New Roman" w:cs="Times New Roman"/>
          <w:szCs w:val="32"/>
          <w:highlight w:val="none"/>
          <w:lang w:val="en-US" w:eastAsia="zh-CN"/>
        </w:rPr>
        <w:t>2025年乡村振兴衔接资金-外出务工交通补助</w:t>
      </w:r>
      <w:r>
        <w:rPr>
          <w:rFonts w:hint="eastAsia" w:cs="Times New Roman"/>
          <w:szCs w:val="32"/>
          <w:highlight w:val="none"/>
          <w:lang w:val="en-US" w:eastAsia="zh-CN"/>
        </w:rPr>
        <w:t>（第五批）</w:t>
      </w:r>
      <w:r>
        <w:rPr>
          <w:rFonts w:hint="eastAsia" w:cs="Times New Roman"/>
          <w:szCs w:val="32"/>
          <w:lang w:val="en-US" w:eastAsia="zh-CN"/>
        </w:rPr>
        <w:t>”项目资金480万元，财政资金拨付率100%。截至2025年底，项目支出</w:t>
      </w:r>
      <w:r>
        <w:rPr>
          <w:rFonts w:hint="eastAsia" w:cs="Times New Roman"/>
          <w:szCs w:val="32"/>
          <w:highlight w:val="none"/>
          <w:lang w:val="en-US" w:eastAsia="zh-CN"/>
        </w:rPr>
        <w:t>480</w:t>
      </w:r>
      <w:r>
        <w:rPr>
          <w:rFonts w:hint="eastAsia" w:ascii="Times New Roman" w:hAnsi="Times New Roman" w:cs="Times New Roman"/>
          <w:szCs w:val="32"/>
          <w:lang w:val="en-US" w:eastAsia="zh-CN"/>
        </w:rPr>
        <w:t>万元，预算执行率</w:t>
      </w:r>
      <w:r>
        <w:rPr>
          <w:rFonts w:hint="eastAsia" w:cs="Times New Roman"/>
          <w:szCs w:val="32"/>
          <w:lang w:val="en-US" w:eastAsia="zh-CN"/>
        </w:rPr>
        <w:t>100</w:t>
      </w:r>
      <w:r>
        <w:rPr>
          <w:rFonts w:hint="eastAsia" w:ascii="Times New Roman" w:hAnsi="Times New Roman" w:cs="Times New Roman"/>
          <w:szCs w:val="32"/>
          <w:lang w:val="en-US" w:eastAsia="zh-CN"/>
        </w:rPr>
        <w:t>%</w:t>
      </w:r>
      <w:r>
        <w:rPr>
          <w:rFonts w:hint="eastAsia" w:cs="Times New Roman"/>
          <w:szCs w:val="32"/>
          <w:lang w:val="en-US" w:eastAsia="zh-CN"/>
        </w:rPr>
        <w:t>。</w:t>
      </w:r>
    </w:p>
    <w:p w14:paraId="288A84D6">
      <w:pPr>
        <w:spacing w:line="600" w:lineRule="exact"/>
        <w:ind w:firstLine="640" w:firstLineChars="200"/>
        <w:rPr>
          <w:rFonts w:hint="eastAsia" w:cs="Times New Roman"/>
          <w:szCs w:val="32"/>
          <w:lang w:val="en-US" w:eastAsia="zh-CN"/>
        </w:rPr>
      </w:pPr>
      <w:r>
        <w:rPr>
          <w:rFonts w:hint="eastAsia" w:cs="Times New Roman"/>
          <w:szCs w:val="32"/>
          <w:lang w:val="en-US" w:eastAsia="zh-CN"/>
        </w:rPr>
        <w:t>综上，该指标6分，评价得分6分。</w:t>
      </w:r>
    </w:p>
    <w:p w14:paraId="27C24FC6">
      <w:pPr>
        <w:spacing w:line="590" w:lineRule="exact"/>
        <w:ind w:firstLine="640" w:firstLineChars="200"/>
        <w:rPr>
          <w:rFonts w:hint="eastAsia" w:ascii="仿宋_GB2312" w:hAnsi="仿宋_GB2312" w:cs="仿宋_GB2312"/>
        </w:rPr>
      </w:pPr>
      <w:r>
        <w:rPr>
          <w:rFonts w:hint="eastAsia" w:ascii="仿宋_GB2312" w:hAnsi="仿宋_GB2312" w:cs="仿宋_GB2312"/>
        </w:rPr>
        <w:t>②资金使用</w:t>
      </w:r>
    </w:p>
    <w:p w14:paraId="6C2624AF">
      <w:pPr>
        <w:spacing w:line="600" w:lineRule="exact"/>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该指标主要用于评价资金使用拨付、项目实施是否符合规定。</w:t>
      </w:r>
    </w:p>
    <w:p w14:paraId="7C6B15FE">
      <w:pPr>
        <w:spacing w:line="600" w:lineRule="exact"/>
        <w:ind w:firstLine="640" w:firstLineChars="200"/>
        <w:rPr>
          <w:rFonts w:hint="default" w:ascii="仿宋_GB2312" w:hAnsi="仿宋_GB2312" w:cs="仿宋_GB2312"/>
          <w:lang w:val="en-US" w:eastAsia="zh-CN"/>
        </w:rPr>
      </w:pPr>
      <w:r>
        <w:rPr>
          <w:rFonts w:hint="eastAsia" w:ascii="仿宋_GB2312" w:hAnsi="仿宋_GB2312" w:cs="仿宋_GB2312"/>
          <w:lang w:val="en-US" w:eastAsia="zh-CN"/>
        </w:rPr>
        <w:t>评价结果：</w:t>
      </w:r>
      <w:r>
        <w:rPr>
          <w:rFonts w:hint="eastAsia" w:ascii="仿宋_GB2312" w:hAnsi="仿宋_GB2312" w:cs="仿宋_GB2312"/>
          <w:highlight w:val="none"/>
          <w:lang w:val="en-US" w:eastAsia="zh-CN"/>
        </w:rPr>
        <w:t>查看支付凭证，款项支付履行报账制，不存在</w:t>
      </w:r>
      <w:r>
        <w:rPr>
          <w:rFonts w:hint="default" w:ascii="仿宋_GB2312" w:hAnsi="仿宋_GB2312" w:cs="仿宋_GB2312"/>
          <w:highlight w:val="none"/>
          <w:lang w:val="en-US" w:eastAsia="zh-CN"/>
        </w:rPr>
        <w:t>资金损失浪费、长期沉淀</w:t>
      </w:r>
      <w:r>
        <w:rPr>
          <w:rFonts w:hint="eastAsia" w:ascii="仿宋_GB2312" w:hAnsi="仿宋_GB2312" w:cs="仿宋_GB2312"/>
          <w:highlight w:val="none"/>
          <w:lang w:val="en-US" w:eastAsia="zh-CN"/>
        </w:rPr>
        <w:t>的情况。</w:t>
      </w:r>
    </w:p>
    <w:p w14:paraId="221654E5">
      <w:pPr>
        <w:spacing w:line="600" w:lineRule="exact"/>
        <w:ind w:firstLine="640" w:firstLineChars="200"/>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综上，该指标3分，评价得分3分。</w:t>
      </w:r>
    </w:p>
    <w:p w14:paraId="1FDEA7FA">
      <w:pPr>
        <w:spacing w:line="590" w:lineRule="exact"/>
        <w:ind w:firstLine="640" w:firstLineChars="200"/>
        <w:outlineLvl w:val="2"/>
        <w:rPr>
          <w:rFonts w:hint="eastAsia" w:ascii="Times New Roman" w:hAnsi="Times New Roman" w:cs="Times New Roman"/>
          <w:szCs w:val="32"/>
          <w:lang w:val="en-US" w:eastAsia="zh-CN"/>
        </w:rPr>
      </w:pPr>
      <w:bookmarkStart w:id="31" w:name="_Toc2504"/>
      <w:r>
        <w:rPr>
          <w:rFonts w:hint="eastAsia" w:ascii="仿宋_GB2312" w:hAnsi="仿宋_GB2312" w:cs="仿宋_GB2312"/>
          <w:lang w:val="en-US" w:eastAsia="zh-CN"/>
        </w:rPr>
        <w:t>（4）</w:t>
      </w:r>
      <w:r>
        <w:rPr>
          <w:rFonts w:hint="eastAsia" w:ascii="Times New Roman" w:hAnsi="Times New Roman" w:cs="Times New Roman"/>
          <w:szCs w:val="32"/>
          <w:lang w:val="en-US" w:eastAsia="zh-CN"/>
        </w:rPr>
        <w:t>项目结果指标分析（9分）</w:t>
      </w:r>
      <w:bookmarkEnd w:id="31"/>
    </w:p>
    <w:p w14:paraId="420DC015">
      <w:pPr>
        <w:spacing w:line="600" w:lineRule="exact"/>
        <w:ind w:firstLine="640" w:firstLineChars="200"/>
        <w:rPr>
          <w:rFonts w:hint="eastAsia" w:eastAsia="仿宋_GB2312"/>
          <w:lang w:eastAsia="zh-CN"/>
        </w:rPr>
      </w:pPr>
      <w:r>
        <w:rPr>
          <w:rFonts w:hint="eastAsia"/>
          <w:lang w:eastAsia="zh-CN"/>
        </w:rPr>
        <w:t>“</w:t>
      </w:r>
      <w:r>
        <w:rPr>
          <w:rFonts w:hint="eastAsia" w:ascii="仿宋_GB2312" w:hAnsi="仿宋_GB2312" w:cs="仿宋_GB2312"/>
        </w:rPr>
        <w:t>项目</w:t>
      </w:r>
      <w:r>
        <w:rPr>
          <w:rFonts w:hint="eastAsia" w:ascii="仿宋_GB2312" w:hAnsi="仿宋_GB2312" w:cs="仿宋_GB2312"/>
          <w:lang w:val="en-US" w:eastAsia="zh-CN"/>
        </w:rPr>
        <w:t>结果</w:t>
      </w:r>
      <w:r>
        <w:rPr>
          <w:rFonts w:hint="eastAsia"/>
          <w:lang w:eastAsia="zh-CN"/>
        </w:rPr>
        <w:t>”</w:t>
      </w:r>
      <w:r>
        <w:rPr>
          <w:rFonts w:hint="eastAsia"/>
          <w:lang w:val="en-US" w:eastAsia="zh-CN"/>
        </w:rPr>
        <w:t>从“目标完成”及“完成时效</w:t>
      </w:r>
      <w:r>
        <w:rPr>
          <w:rFonts w:hint="eastAsia" w:ascii="Times New Roman" w:hAnsi="Times New Roman" w:cs="Times New Roman"/>
          <w:szCs w:val="32"/>
          <w:lang w:val="en-US" w:eastAsia="zh-CN"/>
        </w:rPr>
        <w:t>”2个三</w:t>
      </w:r>
      <w:r>
        <w:rPr>
          <w:rFonts w:ascii="仿宋_GB2312" w:hAnsi="仿宋_GB2312" w:cs="仿宋_GB2312"/>
        </w:rPr>
        <w:t>级指标进行评价</w:t>
      </w:r>
      <w:r>
        <w:rPr>
          <w:rFonts w:hint="eastAsia"/>
          <w:lang w:eastAsia="zh-CN"/>
        </w:rPr>
        <w:t>。</w:t>
      </w:r>
    </w:p>
    <w:p w14:paraId="0D29C850">
      <w:pPr>
        <w:spacing w:line="590" w:lineRule="exact"/>
        <w:ind w:firstLine="640" w:firstLineChars="200"/>
        <w:rPr>
          <w:rFonts w:hint="eastAsia"/>
          <w:lang w:val="en-US" w:eastAsia="zh-CN"/>
        </w:rPr>
      </w:pPr>
      <w:r>
        <w:rPr>
          <w:rFonts w:hint="eastAsia" w:ascii="仿宋_GB2312" w:hAnsi="仿宋_GB2312" w:cs="仿宋_GB2312"/>
        </w:rPr>
        <w:t>①</w:t>
      </w:r>
      <w:r>
        <w:rPr>
          <w:rFonts w:hint="eastAsia"/>
          <w:lang w:val="en-US" w:eastAsia="zh-CN"/>
        </w:rPr>
        <w:t>目标完成</w:t>
      </w:r>
    </w:p>
    <w:p w14:paraId="73E4F959">
      <w:pPr>
        <w:spacing w:line="590" w:lineRule="exact"/>
        <w:ind w:firstLine="640" w:firstLineChars="200"/>
        <w:rPr>
          <w:rFonts w:hint="eastAsia" w:ascii="仿宋_GB2312" w:hAnsi="仿宋_GB2312" w:eastAsia="仿宋_GB2312" w:cs="仿宋_GB2312"/>
          <w:lang w:eastAsia="zh-CN"/>
        </w:rPr>
      </w:pPr>
      <w:r>
        <w:rPr>
          <w:rFonts w:hint="eastAsia" w:ascii="仿宋_GB2312" w:hAnsi="仿宋_GB2312" w:cs="仿宋_GB2312"/>
          <w:lang w:val="en-US" w:eastAsia="zh-CN"/>
        </w:rPr>
        <w:t>该指标主要用于</w:t>
      </w:r>
      <w:r>
        <w:rPr>
          <w:rFonts w:hint="eastAsia" w:ascii="仿宋_GB2312" w:hAnsi="仿宋_GB2312" w:cs="仿宋_GB2312"/>
        </w:rPr>
        <w:t>评价项目是否完成预期目标，实施结果是否与绩效目标相匹配，反映目标实现程度</w:t>
      </w:r>
      <w:r>
        <w:rPr>
          <w:rFonts w:hint="eastAsia" w:ascii="仿宋_GB2312" w:hAnsi="仿宋_GB2312" w:cs="仿宋_GB2312"/>
          <w:lang w:eastAsia="zh-CN"/>
        </w:rPr>
        <w:t>。</w:t>
      </w:r>
    </w:p>
    <w:p w14:paraId="320F4007">
      <w:pPr>
        <w:spacing w:line="590" w:lineRule="exact"/>
        <w:ind w:firstLine="640" w:firstLineChars="200"/>
        <w:rPr>
          <w:rFonts w:hint="eastAsia" w:ascii="Times New Roman" w:hAnsi="Times New Roman" w:cs="Times New Roman"/>
          <w:szCs w:val="32"/>
          <w:lang w:val="en-US" w:eastAsia="zh-CN"/>
        </w:rPr>
      </w:pPr>
      <w:r>
        <w:rPr>
          <w:rFonts w:hint="eastAsia" w:ascii="仿宋_GB2312" w:hAnsi="仿宋_GB2312" w:cs="仿宋_GB2312"/>
          <w:lang w:val="en-US" w:eastAsia="zh-CN"/>
        </w:rPr>
        <w:t>评价结果：根据现场评价情况，绩效目标任务总量和实现情况如表</w:t>
      </w:r>
      <w:r>
        <w:rPr>
          <w:rFonts w:hint="eastAsia" w:ascii="Times New Roman" w:hAnsi="Times New Roman" w:cs="Times New Roman"/>
          <w:szCs w:val="32"/>
          <w:lang w:val="en-US" w:eastAsia="zh-CN"/>
        </w:rPr>
        <w:t>3-3。</w:t>
      </w:r>
    </w:p>
    <w:p w14:paraId="1E1661A2">
      <w:pPr>
        <w:spacing w:line="590" w:lineRule="exact"/>
        <w:jc w:val="center"/>
        <w:rPr>
          <w:rFonts w:hint="default" w:ascii="仿宋" w:hAnsi="仿宋" w:eastAsia="仿宋" w:cs="Times New Roman"/>
          <w:b/>
          <w:bCs/>
          <w:kern w:val="2"/>
          <w:sz w:val="28"/>
          <w:szCs w:val="24"/>
          <w:lang w:val="en-US" w:eastAsia="zh-CN" w:bidi="ar-SA"/>
        </w:rPr>
      </w:pPr>
      <w:r>
        <w:rPr>
          <w:rFonts w:hint="eastAsia" w:ascii="仿宋" w:hAnsi="仿宋" w:eastAsia="仿宋" w:cs="Times New Roman"/>
          <w:b/>
          <w:bCs/>
          <w:kern w:val="2"/>
          <w:sz w:val="28"/>
          <w:szCs w:val="24"/>
          <w:lang w:val="en-US" w:eastAsia="zh-CN" w:bidi="ar-SA"/>
        </w:rPr>
        <w:t>表3-3  项目目标完成情况</w:t>
      </w: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80"/>
        <w:gridCol w:w="1879"/>
        <w:gridCol w:w="2056"/>
        <w:gridCol w:w="1907"/>
      </w:tblGrid>
      <w:tr w14:paraId="463D9DA4">
        <w:tblPrEx>
          <w:shd w:val="clear" w:color="auto" w:fill="auto"/>
          <w:tblCellMar>
            <w:top w:w="0" w:type="dxa"/>
            <w:left w:w="108" w:type="dxa"/>
            <w:bottom w:w="0" w:type="dxa"/>
            <w:right w:w="108" w:type="dxa"/>
          </w:tblCellMar>
        </w:tblPrEx>
        <w:trPr>
          <w:trHeight w:val="454" w:hRule="exact"/>
        </w:trPr>
        <w:tc>
          <w:tcPr>
            <w:tcW w:w="2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E575CF">
            <w:pPr>
              <w:keepNext w:val="0"/>
              <w:keepLines w:val="0"/>
              <w:widowControl/>
              <w:suppressLineNumbers w:val="0"/>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数量指标名称</w:t>
            </w:r>
          </w:p>
        </w:tc>
        <w:tc>
          <w:tcPr>
            <w:tcW w:w="18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84570E">
            <w:pPr>
              <w:keepNext w:val="0"/>
              <w:keepLines w:val="0"/>
              <w:widowControl/>
              <w:suppressLineNumbers w:val="0"/>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预期指标</w:t>
            </w:r>
          </w:p>
        </w:tc>
        <w:tc>
          <w:tcPr>
            <w:tcW w:w="20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986383">
            <w:pPr>
              <w:keepNext w:val="0"/>
              <w:keepLines w:val="0"/>
              <w:widowControl/>
              <w:suppressLineNumbers w:val="0"/>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实际完成</w:t>
            </w:r>
          </w:p>
        </w:tc>
        <w:tc>
          <w:tcPr>
            <w:tcW w:w="190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55371C">
            <w:pPr>
              <w:keepNext w:val="0"/>
              <w:keepLines w:val="0"/>
              <w:widowControl/>
              <w:suppressLineNumbers w:val="0"/>
              <w:jc w:val="center"/>
              <w:textAlignment w:val="top"/>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007A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FDF189">
            <w:pPr>
              <w:keepNext w:val="0"/>
              <w:keepLines w:val="0"/>
              <w:widowControl/>
              <w:suppressLineNumbers w:val="0"/>
              <w:jc w:val="center"/>
              <w:textAlignment w:val="top"/>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补助外出务工的脱贫人口</w:t>
            </w:r>
          </w:p>
        </w:tc>
        <w:tc>
          <w:tcPr>
            <w:tcW w:w="18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6A15D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4000人</w:t>
            </w:r>
          </w:p>
        </w:tc>
        <w:tc>
          <w:tcPr>
            <w:tcW w:w="20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55B5F3">
            <w:pPr>
              <w:keepNext w:val="0"/>
              <w:keepLines w:val="0"/>
              <w:widowControl/>
              <w:suppressLineNumbers w:val="0"/>
              <w:jc w:val="center"/>
              <w:textAlignment w:val="top"/>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4000人</w:t>
            </w:r>
          </w:p>
        </w:tc>
        <w:tc>
          <w:tcPr>
            <w:tcW w:w="190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FD3641">
            <w:pPr>
              <w:keepNext w:val="0"/>
              <w:keepLines w:val="0"/>
              <w:widowControl/>
              <w:suppressLineNumbers w:val="0"/>
              <w:jc w:val="center"/>
              <w:textAlignment w:val="top"/>
              <w:rPr>
                <w:rFonts w:hint="default" w:ascii="仿宋_GB2312" w:hAnsi="宋体" w:cs="仿宋_GB2312"/>
                <w:i w:val="0"/>
                <w:iCs w:val="0"/>
                <w:color w:val="000000"/>
                <w:kern w:val="0"/>
                <w:sz w:val="22"/>
                <w:szCs w:val="22"/>
                <w:u w:val="none"/>
                <w:lang w:val="en-US" w:eastAsia="zh-CN" w:bidi="ar"/>
              </w:rPr>
            </w:pPr>
          </w:p>
        </w:tc>
      </w:tr>
    </w:tbl>
    <w:p w14:paraId="75F40120">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综上，该指标6分，评价得分6分。</w:t>
      </w:r>
    </w:p>
    <w:p w14:paraId="7489BEF1">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②完成时效</w:t>
      </w:r>
    </w:p>
    <w:p w14:paraId="69841D20">
      <w:pPr>
        <w:spacing w:line="590" w:lineRule="exact"/>
        <w:ind w:firstLine="640" w:firstLineChars="200"/>
        <w:rPr>
          <w:rFonts w:hint="eastAsia" w:ascii="仿宋_GB2312" w:hAnsi="仿宋_GB2312" w:cs="仿宋_GB2312"/>
          <w:lang w:eastAsia="zh-CN"/>
        </w:rPr>
      </w:pPr>
      <w:r>
        <w:rPr>
          <w:rFonts w:hint="eastAsia" w:ascii="仿宋_GB2312" w:hAnsi="仿宋_GB2312" w:cs="仿宋_GB2312"/>
          <w:lang w:val="en-US" w:eastAsia="zh-CN"/>
        </w:rPr>
        <w:t>该指标主要用于</w:t>
      </w:r>
      <w:r>
        <w:rPr>
          <w:rFonts w:hint="eastAsia" w:ascii="仿宋_GB2312" w:hAnsi="仿宋_GB2312" w:cs="仿宋_GB2312"/>
        </w:rPr>
        <w:t>评价项目实际完成时间与计划完成时间的比较</w:t>
      </w:r>
      <w:r>
        <w:rPr>
          <w:rFonts w:hint="eastAsia" w:ascii="仿宋_GB2312" w:hAnsi="仿宋_GB2312" w:cs="仿宋_GB2312"/>
          <w:lang w:eastAsia="zh-CN"/>
        </w:rPr>
        <w:t>。</w:t>
      </w:r>
    </w:p>
    <w:p w14:paraId="6765F637">
      <w:pPr>
        <w:spacing w:line="590" w:lineRule="exact"/>
        <w:ind w:firstLine="640" w:firstLineChars="200"/>
        <w:rPr>
          <w:rFonts w:hint="default" w:cs="Times New Roman"/>
          <w:szCs w:val="32"/>
          <w:lang w:val="en-US" w:eastAsia="zh-CN"/>
        </w:rPr>
      </w:pPr>
      <w:r>
        <w:rPr>
          <w:rFonts w:hint="eastAsia" w:ascii="Times New Roman" w:hAnsi="Times New Roman" w:cs="Times New Roman"/>
          <w:szCs w:val="32"/>
          <w:lang w:val="en-US" w:eastAsia="zh-CN"/>
        </w:rPr>
        <w:t>评价结果：岳池县农业农村局在2025年内完成了该补助资金对应的乡村振兴与脱贫攻坚巩固相关工作</w:t>
      </w:r>
      <w:r>
        <w:rPr>
          <w:rFonts w:hint="eastAsia" w:cs="Times New Roman"/>
          <w:szCs w:val="32"/>
          <w:lang w:val="en-US" w:eastAsia="zh-CN"/>
        </w:rPr>
        <w:t>。截至现场评价日，</w:t>
      </w:r>
      <w:r>
        <w:rPr>
          <w:rFonts w:hint="eastAsia" w:cs="Times New Roman"/>
          <w:szCs w:val="32"/>
          <w:highlight w:val="none"/>
          <w:lang w:val="en-US" w:eastAsia="zh-CN"/>
        </w:rPr>
        <w:t>因受益对象卡号等问题多次修改数据后才发放成功，资金支付及时率100%（四舍五入后）。</w:t>
      </w:r>
    </w:p>
    <w:p w14:paraId="65B6E42F">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综上，该指标3分，评价得分</w:t>
      </w:r>
      <w:r>
        <w:rPr>
          <w:rFonts w:hint="eastAsia" w:cs="Times New Roman"/>
          <w:szCs w:val="32"/>
          <w:lang w:val="en-US" w:eastAsia="zh-CN"/>
        </w:rPr>
        <w:t>1</w:t>
      </w:r>
      <w:r>
        <w:rPr>
          <w:rFonts w:hint="eastAsia" w:ascii="Times New Roman" w:hAnsi="Times New Roman" w:cs="Times New Roman"/>
          <w:szCs w:val="32"/>
          <w:lang w:val="en-US" w:eastAsia="zh-CN"/>
        </w:rPr>
        <w:t>分。</w:t>
      </w:r>
    </w:p>
    <w:p w14:paraId="69F14F6E">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2.专用指标分析</w:t>
      </w:r>
    </w:p>
    <w:p w14:paraId="5FE12577">
      <w:pPr>
        <w:spacing w:line="600" w:lineRule="exact"/>
        <w:ind w:firstLine="640" w:firstLineChars="200"/>
        <w:rPr>
          <w:rFonts w:hint="eastAsia" w:ascii="仿宋" w:hAnsi="仿宋" w:eastAsia="仿宋" w:cs="Times New Roman"/>
          <w:b/>
          <w:bCs/>
          <w:kern w:val="2"/>
          <w:sz w:val="28"/>
          <w:szCs w:val="24"/>
          <w:highlight w:val="none"/>
          <w:lang w:val="en-US" w:eastAsia="zh-CN" w:bidi="ar-SA"/>
        </w:rPr>
      </w:pPr>
      <w:r>
        <w:rPr>
          <w:rFonts w:hint="eastAsia"/>
          <w:lang w:val="en-US" w:eastAsia="zh-CN"/>
        </w:rPr>
        <w:t>一</w:t>
      </w:r>
      <w:r>
        <w:t>级指标</w:t>
      </w:r>
      <w:r>
        <w:rPr>
          <w:rFonts w:hint="eastAsia"/>
          <w:lang w:eastAsia="zh-CN"/>
        </w:rPr>
        <w:t>“</w:t>
      </w:r>
      <w:r>
        <w:rPr>
          <w:rFonts w:hint="eastAsia" w:ascii="仿宋_GB2312" w:hAnsi="仿宋_GB2312" w:cs="仿宋_GB2312"/>
          <w:lang w:val="en-US" w:eastAsia="zh-CN"/>
        </w:rPr>
        <w:t>专用</w:t>
      </w:r>
      <w:r>
        <w:rPr>
          <w:rFonts w:hint="eastAsia" w:ascii="仿宋_GB2312" w:hAnsi="仿宋_GB2312" w:cs="仿宋_GB2312"/>
        </w:rPr>
        <w:t>指标</w:t>
      </w:r>
      <w:r>
        <w:rPr>
          <w:rFonts w:hint="eastAsia"/>
          <w:lang w:eastAsia="zh-CN"/>
        </w:rPr>
        <w:t>”</w:t>
      </w:r>
      <w:r>
        <w:rPr>
          <w:rFonts w:hint="eastAsia"/>
        </w:rPr>
        <w:t>赋分</w:t>
      </w:r>
      <w:r>
        <w:rPr>
          <w:rFonts w:hint="eastAsia"/>
          <w:lang w:val="en-US" w:eastAsia="zh-CN"/>
        </w:rPr>
        <w:t>30</w:t>
      </w:r>
      <w:r>
        <w:t>分，下设</w:t>
      </w:r>
      <w:r>
        <w:rPr>
          <w:rFonts w:hint="eastAsia"/>
          <w:lang w:val="en-US" w:eastAsia="zh-CN"/>
        </w:rPr>
        <w:t>区域均衡性</w:t>
      </w:r>
      <w:r>
        <w:rPr>
          <w:rFonts w:hint="eastAsia"/>
        </w:rPr>
        <w:t>、</w:t>
      </w:r>
      <w:r>
        <w:rPr>
          <w:rFonts w:hint="eastAsia"/>
          <w:lang w:val="en-US" w:eastAsia="zh-CN"/>
        </w:rPr>
        <w:t>对象精准性</w:t>
      </w:r>
      <w:r>
        <w:rPr>
          <w:rFonts w:hint="eastAsia"/>
        </w:rPr>
        <w:t>、</w:t>
      </w:r>
      <w:r>
        <w:rPr>
          <w:rFonts w:hint="eastAsia"/>
          <w:lang w:val="en-US" w:eastAsia="zh-CN"/>
        </w:rPr>
        <w:t>标准合规性3</w:t>
      </w:r>
      <w:r>
        <w:t>个</w:t>
      </w:r>
      <w:r>
        <w:rPr>
          <w:rFonts w:hint="eastAsia"/>
          <w:lang w:val="en-US" w:eastAsia="zh-CN"/>
        </w:rPr>
        <w:t>三</w:t>
      </w:r>
      <w:r>
        <w:t>级指标</w:t>
      </w:r>
      <w:r>
        <w:rPr>
          <w:rFonts w:hint="eastAsia"/>
        </w:rPr>
        <w:t>，得分情况如表3-</w:t>
      </w:r>
      <w:r>
        <w:rPr>
          <w:rFonts w:hint="eastAsia"/>
          <w:lang w:val="en-US" w:eastAsia="zh-CN"/>
        </w:rPr>
        <w:t>4</w:t>
      </w:r>
      <w:r>
        <w:rPr>
          <w:rFonts w:hint="eastAsia"/>
        </w:rPr>
        <w:t>：</w:t>
      </w:r>
    </w:p>
    <w:p w14:paraId="52CC2B26">
      <w:pPr>
        <w:pStyle w:val="14"/>
        <w:spacing w:after="0" w:line="590" w:lineRule="exact"/>
        <w:ind w:left="0" w:leftChars="0" w:firstLine="0" w:firstLineChars="0"/>
        <w:jc w:val="center"/>
        <w:rPr>
          <w:rFonts w:hint="eastAsia" w:ascii="仿宋" w:hAnsi="仿宋" w:eastAsia="仿宋" w:cs="Times New Roman"/>
          <w:b/>
          <w:bCs/>
          <w:kern w:val="2"/>
          <w:sz w:val="28"/>
          <w:szCs w:val="24"/>
          <w:highlight w:val="none"/>
          <w:lang w:val="en-US" w:eastAsia="zh-CN" w:bidi="ar-SA"/>
        </w:rPr>
      </w:pPr>
      <w:r>
        <w:rPr>
          <w:rFonts w:hint="eastAsia" w:ascii="仿宋" w:hAnsi="仿宋" w:eastAsia="仿宋" w:cs="Times New Roman"/>
          <w:b/>
          <w:bCs/>
          <w:kern w:val="2"/>
          <w:sz w:val="28"/>
          <w:szCs w:val="24"/>
          <w:highlight w:val="none"/>
          <w:lang w:val="en-US" w:eastAsia="zh-CN" w:bidi="ar-SA"/>
        </w:rPr>
        <w:t>表3-4  专用指标得分情况表</w:t>
      </w:r>
    </w:p>
    <w:tbl>
      <w:tblPr>
        <w:tblStyle w:val="15"/>
        <w:tblW w:w="8519" w:type="dxa"/>
        <w:tblInd w:w="0" w:type="dxa"/>
        <w:tblLayout w:type="fixed"/>
        <w:tblCellMar>
          <w:top w:w="0" w:type="dxa"/>
          <w:left w:w="108" w:type="dxa"/>
          <w:bottom w:w="0" w:type="dxa"/>
          <w:right w:w="108" w:type="dxa"/>
        </w:tblCellMar>
      </w:tblPr>
      <w:tblGrid>
        <w:gridCol w:w="1497"/>
        <w:gridCol w:w="1786"/>
        <w:gridCol w:w="1759"/>
        <w:gridCol w:w="1159"/>
        <w:gridCol w:w="1159"/>
        <w:gridCol w:w="1159"/>
      </w:tblGrid>
      <w:tr w14:paraId="0AC8D882">
        <w:tblPrEx>
          <w:tblCellMar>
            <w:top w:w="0" w:type="dxa"/>
            <w:left w:w="108" w:type="dxa"/>
            <w:bottom w:w="0" w:type="dxa"/>
            <w:right w:w="108" w:type="dxa"/>
          </w:tblCellMar>
        </w:tblPrEx>
        <w:trPr>
          <w:trHeight w:val="45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B45">
            <w:pPr>
              <w:widowControl/>
              <w:jc w:val="center"/>
              <w:textAlignment w:val="center"/>
              <w:rPr>
                <w:rFonts w:hint="eastAsia"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lang w:bidi="ar"/>
              </w:rPr>
              <w:t>一级指标</w:t>
            </w:r>
          </w:p>
        </w:tc>
        <w:tc>
          <w:tcPr>
            <w:tcW w:w="1786" w:type="dxa"/>
            <w:tcBorders>
              <w:top w:val="single" w:color="000000" w:sz="4" w:space="0"/>
              <w:left w:val="single" w:color="000000" w:sz="4" w:space="0"/>
              <w:bottom w:val="single" w:color="000000" w:sz="2" w:space="0"/>
              <w:right w:val="single" w:color="000000" w:sz="4" w:space="0"/>
            </w:tcBorders>
            <w:shd w:val="clear" w:color="auto" w:fill="auto"/>
            <w:vAlign w:val="center"/>
          </w:tcPr>
          <w:p w14:paraId="65DEF6BE">
            <w:pPr>
              <w:widowControl/>
              <w:jc w:val="center"/>
              <w:textAlignment w:val="center"/>
              <w:rPr>
                <w:rFonts w:hint="eastAsia"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lang w:bidi="ar"/>
              </w:rPr>
              <w:t>二级指标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BE6A">
            <w:pPr>
              <w:widowControl/>
              <w:jc w:val="center"/>
              <w:textAlignment w:val="center"/>
              <w:rPr>
                <w:rFonts w:hint="eastAsia" w:ascii="黑体" w:hAnsi="黑体" w:eastAsia="黑体" w:cs="黑体"/>
                <w:b w:val="0"/>
                <w:bCs w:val="0"/>
                <w:color w:val="000000"/>
                <w:sz w:val="24"/>
                <w:szCs w:val="24"/>
                <w:highlight w:val="none"/>
              </w:rPr>
            </w:pPr>
            <w:r>
              <w:rPr>
                <w:rFonts w:hint="eastAsia" w:ascii="黑体" w:hAnsi="黑体" w:eastAsia="黑体" w:cs="黑体"/>
                <w:b w:val="0"/>
                <w:bCs w:val="0"/>
                <w:color w:val="000000"/>
                <w:kern w:val="0"/>
                <w:sz w:val="24"/>
                <w:szCs w:val="24"/>
                <w:highlight w:val="none"/>
                <w:lang w:bidi="ar"/>
              </w:rPr>
              <w:t>三级指标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55E">
            <w:pPr>
              <w:widowControl/>
              <w:jc w:val="center"/>
              <w:textAlignment w:val="center"/>
              <w:rPr>
                <w:rFonts w:hint="eastAsia" w:ascii="黑体" w:hAnsi="黑体" w:eastAsia="黑体" w:cs="黑体"/>
                <w:b w:val="0"/>
                <w:bCs w:val="0"/>
                <w:color w:val="000000"/>
                <w:sz w:val="24"/>
                <w:szCs w:val="24"/>
                <w:highlight w:val="none"/>
                <w:lang w:eastAsia="zh-CN"/>
              </w:rPr>
            </w:pPr>
            <w:r>
              <w:rPr>
                <w:rFonts w:hint="eastAsia" w:ascii="黑体" w:hAnsi="黑体" w:eastAsia="黑体" w:cs="黑体"/>
                <w:b w:val="0"/>
                <w:bCs w:val="0"/>
                <w:color w:val="000000"/>
                <w:kern w:val="0"/>
                <w:sz w:val="24"/>
                <w:szCs w:val="24"/>
                <w:highlight w:val="none"/>
                <w:lang w:val="en-US" w:eastAsia="zh-CN" w:bidi="ar"/>
              </w:rPr>
              <w:t>分值</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C4C8">
            <w:pPr>
              <w:widowControl/>
              <w:jc w:val="center"/>
              <w:textAlignment w:val="center"/>
              <w:rPr>
                <w:rFonts w:hint="eastAsia" w:ascii="黑体" w:hAnsi="黑体" w:eastAsia="黑体" w:cs="黑体"/>
                <w:b w:val="0"/>
                <w:bCs w:val="0"/>
                <w:color w:val="000000"/>
                <w:kern w:val="0"/>
                <w:sz w:val="24"/>
                <w:szCs w:val="24"/>
                <w:highlight w:val="none"/>
                <w:lang w:val="en-US" w:eastAsia="zh-CN" w:bidi="ar"/>
              </w:rPr>
            </w:pPr>
            <w:r>
              <w:rPr>
                <w:rFonts w:hint="eastAsia" w:ascii="黑体" w:hAnsi="黑体" w:eastAsia="黑体" w:cs="黑体"/>
                <w:b w:val="0"/>
                <w:bCs w:val="0"/>
                <w:color w:val="000000"/>
                <w:kern w:val="0"/>
                <w:sz w:val="24"/>
                <w:szCs w:val="24"/>
                <w:highlight w:val="none"/>
                <w:lang w:val="en-US" w:eastAsia="zh-CN" w:bidi="ar"/>
              </w:rPr>
              <w:t>得分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0A1">
            <w:pPr>
              <w:widowControl/>
              <w:jc w:val="center"/>
              <w:textAlignment w:val="center"/>
              <w:rPr>
                <w:rFonts w:hint="eastAsia" w:ascii="黑体" w:hAnsi="黑体" w:eastAsia="黑体" w:cs="黑体"/>
                <w:b w:val="0"/>
                <w:bCs w:val="0"/>
                <w:color w:val="000000"/>
                <w:sz w:val="24"/>
                <w:szCs w:val="24"/>
                <w:highlight w:val="none"/>
                <w:lang w:val="en-US" w:eastAsia="zh-CN"/>
              </w:rPr>
            </w:pPr>
            <w:r>
              <w:rPr>
                <w:rFonts w:hint="eastAsia" w:ascii="黑体" w:hAnsi="黑体" w:eastAsia="黑体" w:cs="黑体"/>
                <w:b w:val="0"/>
                <w:bCs w:val="0"/>
                <w:color w:val="000000"/>
                <w:kern w:val="0"/>
                <w:sz w:val="24"/>
                <w:szCs w:val="24"/>
                <w:highlight w:val="none"/>
                <w:lang w:val="en-US" w:eastAsia="zh-CN" w:bidi="ar"/>
              </w:rPr>
              <w:t>得分率</w:t>
            </w:r>
          </w:p>
        </w:tc>
      </w:tr>
      <w:tr w14:paraId="7B316C89">
        <w:tblPrEx>
          <w:tblCellMar>
            <w:top w:w="0" w:type="dxa"/>
            <w:left w:w="108" w:type="dxa"/>
            <w:bottom w:w="0" w:type="dxa"/>
            <w:right w:w="108" w:type="dxa"/>
          </w:tblCellMar>
        </w:tblPrEx>
        <w:trPr>
          <w:trHeight w:val="454" w:hRule="exact"/>
        </w:trPr>
        <w:tc>
          <w:tcPr>
            <w:tcW w:w="1497" w:type="dxa"/>
            <w:vMerge w:val="restart"/>
            <w:tcBorders>
              <w:top w:val="single" w:color="000000" w:sz="4" w:space="0"/>
              <w:left w:val="single" w:color="000000" w:sz="4" w:space="0"/>
              <w:right w:val="single" w:color="000000" w:sz="2" w:space="0"/>
            </w:tcBorders>
            <w:shd w:val="clear" w:color="auto" w:fill="auto"/>
            <w:vAlign w:val="center"/>
          </w:tcPr>
          <w:p w14:paraId="4EBD111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专用指标</w:t>
            </w:r>
          </w:p>
          <w:p w14:paraId="0D851152">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（30分）</w:t>
            </w:r>
          </w:p>
        </w:tc>
        <w:tc>
          <w:tcPr>
            <w:tcW w:w="1786" w:type="dxa"/>
            <w:vMerge w:val="restart"/>
            <w:tcBorders>
              <w:top w:val="single" w:color="000000" w:sz="2" w:space="0"/>
              <w:left w:val="single" w:color="000000" w:sz="2" w:space="0"/>
              <w:right w:val="single" w:color="000000" w:sz="2" w:space="0"/>
            </w:tcBorders>
            <w:shd w:val="clear" w:color="auto" w:fill="auto"/>
            <w:vAlign w:val="center"/>
          </w:tcPr>
          <w:p w14:paraId="2B8EB7AC">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民生保障</w:t>
            </w:r>
          </w:p>
          <w:p w14:paraId="4DAB34B5">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（30分）</w:t>
            </w:r>
          </w:p>
        </w:tc>
        <w:tc>
          <w:tcPr>
            <w:tcW w:w="175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0CD2C92E">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区域均衡性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B797">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8E16">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AC0D">
            <w:pPr>
              <w:keepNext w:val="0"/>
              <w:keepLines w:val="0"/>
              <w:widowControl/>
              <w:suppressLineNumbers w:val="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4400E137">
        <w:tblPrEx>
          <w:tblCellMar>
            <w:top w:w="0" w:type="dxa"/>
            <w:left w:w="108" w:type="dxa"/>
            <w:bottom w:w="0" w:type="dxa"/>
            <w:right w:w="108" w:type="dxa"/>
          </w:tblCellMar>
        </w:tblPrEx>
        <w:trPr>
          <w:trHeight w:val="454" w:hRule="exact"/>
        </w:trPr>
        <w:tc>
          <w:tcPr>
            <w:tcW w:w="1497" w:type="dxa"/>
            <w:vMerge w:val="continue"/>
            <w:tcBorders>
              <w:left w:val="single" w:color="000000" w:sz="4" w:space="0"/>
              <w:right w:val="single" w:color="000000" w:sz="2" w:space="0"/>
            </w:tcBorders>
            <w:shd w:val="clear" w:color="auto" w:fill="auto"/>
            <w:vAlign w:val="center"/>
          </w:tcPr>
          <w:p w14:paraId="7D856BE2">
            <w:pPr>
              <w:jc w:val="center"/>
              <w:rPr>
                <w:rFonts w:ascii="宋体" w:hAnsi="宋体" w:eastAsia="宋体" w:cs="宋体"/>
                <w:color w:val="000000"/>
                <w:sz w:val="22"/>
                <w:szCs w:val="22"/>
                <w:highlight w:val="none"/>
              </w:rPr>
            </w:pPr>
          </w:p>
        </w:tc>
        <w:tc>
          <w:tcPr>
            <w:tcW w:w="1786" w:type="dxa"/>
            <w:vMerge w:val="continue"/>
            <w:tcBorders>
              <w:left w:val="single" w:color="000000" w:sz="2" w:space="0"/>
              <w:right w:val="single" w:color="000000" w:sz="2" w:space="0"/>
            </w:tcBorders>
            <w:shd w:val="clear" w:color="auto" w:fill="auto"/>
            <w:vAlign w:val="center"/>
          </w:tcPr>
          <w:p w14:paraId="0EA4E1D3">
            <w:pPr>
              <w:jc w:val="center"/>
              <w:rPr>
                <w:rFonts w:ascii="宋体" w:hAnsi="宋体" w:eastAsia="宋体" w:cs="宋体"/>
                <w:color w:val="000000"/>
                <w:sz w:val="22"/>
                <w:szCs w:val="22"/>
                <w:highlight w:val="none"/>
              </w:rPr>
            </w:pPr>
          </w:p>
        </w:tc>
        <w:tc>
          <w:tcPr>
            <w:tcW w:w="175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79EAD6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对象精准性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316">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9715">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CDF">
            <w:pPr>
              <w:keepNext w:val="0"/>
              <w:keepLines w:val="0"/>
              <w:widowControl/>
              <w:suppressLineNumbers w:val="0"/>
              <w:jc w:val="center"/>
              <w:textAlignment w:val="center"/>
              <w:rPr>
                <w:rFonts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100.00%</w:t>
            </w:r>
          </w:p>
        </w:tc>
      </w:tr>
      <w:tr w14:paraId="3DCB3619">
        <w:tblPrEx>
          <w:tblCellMar>
            <w:top w:w="0" w:type="dxa"/>
            <w:left w:w="108" w:type="dxa"/>
            <w:bottom w:w="0" w:type="dxa"/>
            <w:right w:w="108" w:type="dxa"/>
          </w:tblCellMar>
        </w:tblPrEx>
        <w:trPr>
          <w:trHeight w:val="454" w:hRule="exact"/>
        </w:trPr>
        <w:tc>
          <w:tcPr>
            <w:tcW w:w="1497" w:type="dxa"/>
            <w:vMerge w:val="continue"/>
            <w:tcBorders>
              <w:left w:val="single" w:color="000000" w:sz="4" w:space="0"/>
              <w:right w:val="single" w:color="000000" w:sz="2" w:space="0"/>
            </w:tcBorders>
            <w:shd w:val="clear" w:color="auto" w:fill="auto"/>
            <w:vAlign w:val="center"/>
          </w:tcPr>
          <w:p w14:paraId="59E78311">
            <w:pPr>
              <w:jc w:val="center"/>
              <w:rPr>
                <w:rFonts w:ascii="宋体" w:hAnsi="宋体" w:eastAsia="宋体" w:cs="宋体"/>
                <w:color w:val="000000"/>
                <w:sz w:val="22"/>
                <w:szCs w:val="22"/>
                <w:highlight w:val="none"/>
              </w:rPr>
            </w:pPr>
          </w:p>
        </w:tc>
        <w:tc>
          <w:tcPr>
            <w:tcW w:w="1786" w:type="dxa"/>
            <w:vMerge w:val="continue"/>
            <w:tcBorders>
              <w:left w:val="single" w:color="000000" w:sz="2" w:space="0"/>
              <w:right w:val="single" w:color="000000" w:sz="2" w:space="0"/>
            </w:tcBorders>
            <w:shd w:val="clear" w:color="auto" w:fill="auto"/>
            <w:vAlign w:val="center"/>
          </w:tcPr>
          <w:p w14:paraId="3D11418A">
            <w:pPr>
              <w:jc w:val="center"/>
              <w:rPr>
                <w:rFonts w:ascii="宋体" w:hAnsi="宋体" w:eastAsia="宋体" w:cs="宋体"/>
                <w:color w:val="000000"/>
                <w:sz w:val="22"/>
                <w:szCs w:val="22"/>
                <w:highlight w:val="none"/>
              </w:rPr>
            </w:pPr>
          </w:p>
        </w:tc>
        <w:tc>
          <w:tcPr>
            <w:tcW w:w="175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67B017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标准合规性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B257">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394">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A9C1">
            <w:pPr>
              <w:keepNext w:val="0"/>
              <w:keepLines w:val="0"/>
              <w:widowControl/>
              <w:suppressLineNumbers w:val="0"/>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69EB6AF8">
        <w:tblPrEx>
          <w:tblCellMar>
            <w:top w:w="0" w:type="dxa"/>
            <w:left w:w="108" w:type="dxa"/>
            <w:bottom w:w="0" w:type="dxa"/>
            <w:right w:w="108" w:type="dxa"/>
          </w:tblCellMar>
        </w:tblPrEx>
        <w:trPr>
          <w:trHeight w:val="454" w:hRule="exact"/>
        </w:trPr>
        <w:tc>
          <w:tcPr>
            <w:tcW w:w="5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63081">
            <w:pPr>
              <w:widowControl/>
              <w:jc w:val="center"/>
              <w:textAlignment w:val="center"/>
              <w:rPr>
                <w:rFonts w:hint="eastAsia" w:ascii="宋体" w:hAnsi="宋体" w:eastAsia="宋体" w:cs="宋体"/>
                <w:b/>
                <w:bCs/>
                <w:color w:val="000000"/>
                <w:kern w:val="0"/>
                <w:sz w:val="22"/>
                <w:szCs w:val="22"/>
                <w:highlight w:val="none"/>
                <w:lang w:val="en-US" w:eastAsia="zh-CN" w:bidi="ar"/>
              </w:rPr>
            </w:pPr>
            <w:r>
              <w:rPr>
                <w:rFonts w:hint="eastAsia" w:ascii="宋体" w:hAnsi="宋体" w:eastAsia="宋体" w:cs="宋体"/>
                <w:b/>
                <w:bCs/>
                <w:color w:val="000000"/>
                <w:sz w:val="22"/>
                <w:szCs w:val="22"/>
                <w:highlight w:val="none"/>
                <w:lang w:val="en-US" w:eastAsia="zh-CN"/>
              </w:rPr>
              <w:t>合计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5496">
            <w:pPr>
              <w:widowControl/>
              <w:jc w:val="center"/>
              <w:textAlignment w:val="center"/>
              <w:rPr>
                <w:rFonts w:hint="default" w:ascii="宋体" w:hAnsi="宋体" w:eastAsia="宋体" w:cs="宋体"/>
                <w:b/>
                <w:bCs/>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F0E">
            <w:pPr>
              <w:widowControl/>
              <w:jc w:val="center"/>
              <w:textAlignment w:val="center"/>
              <w:rPr>
                <w:rFonts w:hint="default" w:ascii="宋体" w:hAnsi="宋体" w:eastAsia="宋体" w:cs="宋体"/>
                <w:b/>
                <w:bCs/>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8EE">
            <w:pPr>
              <w:keepNext w:val="0"/>
              <w:keepLines w:val="0"/>
              <w:widowControl/>
              <w:suppressLineNumbers w:val="0"/>
              <w:jc w:val="center"/>
              <w:textAlignment w:val="center"/>
              <w:rPr>
                <w:rFonts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100.00%</w:t>
            </w:r>
          </w:p>
        </w:tc>
      </w:tr>
    </w:tbl>
    <w:p w14:paraId="29903BCD">
      <w:pPr>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（1）区域均衡性（10分）</w:t>
      </w:r>
    </w:p>
    <w:p w14:paraId="294350D3">
      <w:pPr>
        <w:spacing w:line="590" w:lineRule="exact"/>
        <w:ind w:firstLine="640" w:firstLineChars="200"/>
        <w:rPr>
          <w:rFonts w:ascii="仿宋_GB2312" w:hAnsi="仿宋_GB2312" w:cs="仿宋_GB2312"/>
        </w:rPr>
      </w:pPr>
      <w:r>
        <w:rPr>
          <w:rFonts w:hint="eastAsia" w:ascii="仿宋_GB2312" w:hAnsi="仿宋_GB2312" w:cs="仿宋_GB2312"/>
        </w:rPr>
        <w:t>该指标评价</w:t>
      </w:r>
      <w:r>
        <w:rPr>
          <w:rFonts w:hint="eastAsia" w:ascii="仿宋_GB2312" w:hAnsi="仿宋_GB2312" w:cs="仿宋_GB2312"/>
          <w:lang w:val="en-US" w:eastAsia="zh-CN"/>
        </w:rPr>
        <w:t>项目资金分配体现的均衡公平情况。</w:t>
      </w:r>
    </w:p>
    <w:p w14:paraId="5E4A42CE">
      <w:pPr>
        <w:spacing w:line="590" w:lineRule="exact"/>
        <w:ind w:firstLine="640" w:firstLineChars="200"/>
        <w:rPr>
          <w:rFonts w:hint="eastAsia" w:ascii="仿宋_GB2312" w:hAnsi="仿宋_GB2312" w:cs="仿宋_GB2312"/>
        </w:rPr>
      </w:pPr>
      <w:r>
        <w:rPr>
          <w:rFonts w:hint="eastAsia" w:ascii="仿宋_GB2312" w:hAnsi="仿宋_GB2312" w:cs="仿宋_GB2312"/>
        </w:rPr>
        <w:t>评价结果：</w:t>
      </w:r>
      <w:r>
        <w:rPr>
          <w:rFonts w:hint="eastAsia"/>
          <w:highlight w:val="none"/>
          <w:lang w:val="en-US" w:eastAsia="zh-CN"/>
        </w:rPr>
        <w:t>根据</w:t>
      </w:r>
      <w:r>
        <w:rPr>
          <w:rFonts w:hint="eastAsia" w:cs="Times New Roman"/>
          <w:szCs w:val="32"/>
          <w:lang w:val="en-US" w:eastAsia="zh-CN"/>
        </w:rPr>
        <w:t>《关于继续落实脱贫人口跨区域务工就业交通补助促进脱贫群众就业增收的通知》（岳农函〔2025〕123号）</w:t>
      </w:r>
      <w:r>
        <w:rPr>
          <w:rFonts w:hint="eastAsia"/>
          <w:highlight w:val="none"/>
          <w:lang w:val="en-US" w:eastAsia="zh-CN"/>
        </w:rPr>
        <w:t>文件，将全县</w:t>
      </w:r>
      <w:r>
        <w:rPr>
          <w:rFonts w:hint="eastAsia" w:cs="Times New Roman"/>
          <w:szCs w:val="32"/>
          <w:lang w:val="en-US" w:eastAsia="zh-CN"/>
        </w:rPr>
        <w:t>当年跨区域务工的脱贫人口（含防止返贫监测对象）</w:t>
      </w:r>
      <w:r>
        <w:rPr>
          <w:rFonts w:hint="eastAsia"/>
          <w:highlight w:val="none"/>
          <w:lang w:val="en-US" w:eastAsia="zh-CN"/>
        </w:rPr>
        <w:t>纳入补助范围，涉及</w:t>
      </w:r>
      <w:r>
        <w:rPr>
          <w:rFonts w:hint="eastAsia" w:ascii="Times New Roman" w:hAnsi="Times New Roman" w:cs="Times New Roman"/>
          <w:lang w:val="en-US" w:eastAsia="zh-CN"/>
        </w:rPr>
        <w:t>27</w:t>
      </w:r>
      <w:r>
        <w:rPr>
          <w:rFonts w:hint="eastAsia"/>
          <w:highlight w:val="none"/>
          <w:lang w:val="en-US" w:eastAsia="zh-CN"/>
        </w:rPr>
        <w:t>个乡镇（街道），不具有排他性，</w:t>
      </w:r>
      <w:r>
        <w:rPr>
          <w:rFonts w:hint="eastAsia" w:ascii="仿宋_GB2312" w:hAnsi="仿宋_GB2312" w:cs="仿宋_GB2312"/>
        </w:rPr>
        <w:t>确保</w:t>
      </w:r>
      <w:r>
        <w:rPr>
          <w:rFonts w:hint="eastAsia" w:ascii="仿宋_GB2312" w:hAnsi="仿宋_GB2312" w:cs="仿宋_GB2312"/>
          <w:lang w:val="en-US" w:eastAsia="zh-CN"/>
        </w:rPr>
        <w:t>补助资金</w:t>
      </w:r>
      <w:r>
        <w:rPr>
          <w:rFonts w:hint="eastAsia" w:ascii="仿宋_GB2312" w:hAnsi="仿宋_GB2312" w:cs="仿宋_GB2312"/>
        </w:rPr>
        <w:t>分配的均衡与公平。</w:t>
      </w:r>
    </w:p>
    <w:p w14:paraId="5F7CAC0F">
      <w:pPr>
        <w:spacing w:line="590" w:lineRule="exact"/>
        <w:ind w:firstLine="640" w:firstLineChars="200"/>
        <w:rPr>
          <w:rFonts w:hint="default" w:ascii="Times New Roman" w:hAnsi="Times New Roman" w:cs="Times New Roman"/>
        </w:rPr>
      </w:pPr>
      <w:r>
        <w:rPr>
          <w:rFonts w:hint="default" w:ascii="Times New Roman" w:hAnsi="Times New Roman" w:cs="Times New Roman"/>
        </w:rPr>
        <w:t>综上，该指标</w:t>
      </w:r>
      <w:r>
        <w:rPr>
          <w:rFonts w:hint="default" w:ascii="Times New Roman" w:hAnsi="Times New Roman" w:cs="Times New Roman"/>
          <w:lang w:val="en-US" w:eastAsia="zh-CN"/>
        </w:rPr>
        <w:t>10</w:t>
      </w:r>
      <w:r>
        <w:rPr>
          <w:rFonts w:hint="default" w:ascii="Times New Roman" w:hAnsi="Times New Roman" w:cs="Times New Roman"/>
        </w:rPr>
        <w:t>分，评价得分</w:t>
      </w:r>
      <w:r>
        <w:rPr>
          <w:rFonts w:hint="default" w:ascii="Times New Roman" w:hAnsi="Times New Roman" w:cs="Times New Roman"/>
          <w:lang w:val="en-US" w:eastAsia="zh-CN"/>
        </w:rPr>
        <w:t>10</w:t>
      </w:r>
      <w:r>
        <w:rPr>
          <w:rFonts w:hint="default" w:ascii="Times New Roman" w:hAnsi="Times New Roman" w:cs="Times New Roman"/>
        </w:rPr>
        <w:t>分。</w:t>
      </w:r>
    </w:p>
    <w:p w14:paraId="1E43BEC8">
      <w:pPr>
        <w:spacing w:line="59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（2）对象精准性</w:t>
      </w:r>
      <w:r>
        <w:rPr>
          <w:rFonts w:hint="default" w:ascii="Times New Roman" w:hAnsi="Times New Roman" w:cs="Times New Roman"/>
        </w:rPr>
        <w:t>（</w:t>
      </w:r>
      <w:r>
        <w:rPr>
          <w:rFonts w:hint="default" w:ascii="Times New Roman" w:hAnsi="Times New Roman" w:cs="Times New Roman"/>
          <w:lang w:val="en-US" w:eastAsia="zh-CN"/>
        </w:rPr>
        <w:t>10</w:t>
      </w:r>
      <w:r>
        <w:rPr>
          <w:rFonts w:hint="default" w:ascii="Times New Roman" w:hAnsi="Times New Roman" w:cs="Times New Roman"/>
        </w:rPr>
        <w:t>分）</w:t>
      </w:r>
    </w:p>
    <w:p w14:paraId="4BCA8E16">
      <w:pPr>
        <w:spacing w:line="590" w:lineRule="exact"/>
        <w:ind w:firstLine="640" w:firstLineChars="200"/>
        <w:rPr>
          <w:rFonts w:hint="eastAsia" w:ascii="仿宋_GB2312" w:hAnsi="仿宋_GB2312" w:eastAsia="仿宋_GB2312" w:cs="仿宋_GB2312"/>
          <w:lang w:eastAsia="zh-CN"/>
        </w:rPr>
      </w:pPr>
      <w:r>
        <w:rPr>
          <w:rFonts w:hint="eastAsia" w:ascii="仿宋_GB2312" w:hAnsi="仿宋_GB2312" w:cs="仿宋_GB2312"/>
        </w:rPr>
        <w:t>该指标评价项目</w:t>
      </w:r>
      <w:r>
        <w:rPr>
          <w:rFonts w:hint="eastAsia" w:ascii="仿宋_GB2312" w:hAnsi="仿宋_GB2312" w:cs="仿宋_GB2312"/>
          <w:lang w:val="en-US" w:eastAsia="zh-CN"/>
        </w:rPr>
        <w:t>资金管理程序是否符合专项资金管理要求</w:t>
      </w:r>
      <w:r>
        <w:rPr>
          <w:rFonts w:hint="eastAsia" w:ascii="仿宋_GB2312" w:hAnsi="仿宋_GB2312" w:cs="仿宋_GB2312"/>
          <w:lang w:eastAsia="zh-CN"/>
        </w:rPr>
        <w:t>。</w:t>
      </w:r>
    </w:p>
    <w:p w14:paraId="52076EAB">
      <w:pPr>
        <w:spacing w:line="590" w:lineRule="exact"/>
        <w:ind w:firstLine="640" w:firstLineChars="200"/>
        <w:rPr>
          <w:rFonts w:hint="default" w:ascii="Times New Roman" w:hAnsi="Times New Roman" w:cs="Times New Roman"/>
          <w:lang w:val="en-US" w:eastAsia="zh-CN"/>
        </w:rPr>
      </w:pPr>
      <w:r>
        <w:rPr>
          <w:rFonts w:hint="default" w:ascii="Times New Roman" w:hAnsi="Times New Roman" w:cs="Times New Roman"/>
        </w:rPr>
        <w:t>评价结果：</w:t>
      </w:r>
      <w:r>
        <w:rPr>
          <w:rFonts w:hint="default" w:ascii="Times New Roman" w:hAnsi="Times New Roman" w:cs="Times New Roman"/>
          <w:lang w:val="en-US" w:eastAsia="zh-CN"/>
        </w:rPr>
        <w:t>评价组将领取2025年外出务工交通补助名单与开发式公岗补助、一般村级公岗补助及护林员补助进行数据匹配，</w:t>
      </w:r>
      <w:r>
        <w:rPr>
          <w:rFonts w:hint="eastAsia" w:cs="Times New Roman"/>
          <w:lang w:val="en-US" w:eastAsia="zh-CN"/>
        </w:rPr>
        <w:t>未</w:t>
      </w:r>
      <w:r>
        <w:rPr>
          <w:rFonts w:hint="default" w:ascii="Times New Roman" w:hAnsi="Times New Roman" w:cs="Times New Roman"/>
          <w:lang w:val="en-US" w:eastAsia="zh-CN"/>
        </w:rPr>
        <w:t>发现重复领取补贴</w:t>
      </w:r>
      <w:r>
        <w:rPr>
          <w:rFonts w:hint="eastAsia" w:cs="Times New Roman"/>
          <w:lang w:val="en-US" w:eastAsia="zh-CN"/>
        </w:rPr>
        <w:t>情况</w:t>
      </w:r>
      <w:r>
        <w:rPr>
          <w:rFonts w:hint="default" w:ascii="Times New Roman" w:hAnsi="Times New Roman" w:cs="Times New Roman"/>
          <w:lang w:val="en-US" w:eastAsia="zh-CN"/>
        </w:rPr>
        <w:t>。</w:t>
      </w:r>
    </w:p>
    <w:p w14:paraId="28ECC872">
      <w:pPr>
        <w:spacing w:line="590" w:lineRule="exact"/>
        <w:ind w:firstLine="640" w:firstLineChars="200"/>
        <w:rPr>
          <w:rFonts w:hint="default" w:ascii="Times New Roman" w:hAnsi="Times New Roman" w:cs="Times New Roman"/>
        </w:rPr>
      </w:pPr>
      <w:r>
        <w:rPr>
          <w:rFonts w:hint="default" w:ascii="Times New Roman" w:hAnsi="Times New Roman" w:cs="Times New Roman"/>
        </w:rPr>
        <w:t>综上，该指标</w:t>
      </w:r>
      <w:r>
        <w:rPr>
          <w:rFonts w:hint="default" w:ascii="Times New Roman" w:hAnsi="Times New Roman" w:cs="Times New Roman"/>
          <w:lang w:val="en-US" w:eastAsia="zh-CN"/>
        </w:rPr>
        <w:t>10</w:t>
      </w:r>
      <w:r>
        <w:rPr>
          <w:rFonts w:hint="default" w:ascii="Times New Roman" w:hAnsi="Times New Roman" w:cs="Times New Roman"/>
        </w:rPr>
        <w:t>分，评价得分</w:t>
      </w:r>
      <w:r>
        <w:rPr>
          <w:rFonts w:hint="eastAsia" w:cs="Times New Roman"/>
          <w:lang w:val="en-US" w:eastAsia="zh-CN"/>
        </w:rPr>
        <w:t>10</w:t>
      </w:r>
      <w:r>
        <w:rPr>
          <w:rFonts w:hint="default" w:ascii="Times New Roman" w:hAnsi="Times New Roman" w:cs="Times New Roman"/>
          <w:lang w:val="en-US" w:eastAsia="zh-CN"/>
        </w:rPr>
        <w:t>分</w:t>
      </w:r>
      <w:r>
        <w:rPr>
          <w:rFonts w:hint="default" w:ascii="Times New Roman" w:hAnsi="Times New Roman" w:cs="Times New Roman"/>
        </w:rPr>
        <w:t>。</w:t>
      </w:r>
    </w:p>
    <w:p w14:paraId="7BD58A4C">
      <w:pPr>
        <w:spacing w:line="590" w:lineRule="exact"/>
        <w:ind w:firstLine="640" w:firstLineChars="200"/>
        <w:outlineLvl w:val="2"/>
        <w:rPr>
          <w:rFonts w:hint="eastAsia" w:ascii="仿宋_GB2312" w:hAnsi="仿宋_GB2312" w:eastAsia="仿宋_GB2312" w:cs="仿宋_GB2312"/>
          <w:lang w:eastAsia="zh-CN"/>
        </w:rPr>
      </w:pPr>
      <w:bookmarkStart w:id="32" w:name="_Toc30089"/>
      <w:r>
        <w:rPr>
          <w:rFonts w:hint="eastAsia" w:ascii="Times New Roman" w:hAnsi="Times New Roman" w:cs="Times New Roman"/>
          <w:lang w:val="en-US" w:eastAsia="zh-CN"/>
        </w:rPr>
        <w:t>（3）</w:t>
      </w:r>
      <w:r>
        <w:rPr>
          <w:rFonts w:hint="eastAsia" w:ascii="仿宋_GB2312" w:hAnsi="仿宋_GB2312" w:cs="仿宋_GB2312"/>
          <w:lang w:val="en-US" w:eastAsia="zh-CN"/>
        </w:rPr>
        <w:t>标准合理性</w:t>
      </w:r>
      <w:r>
        <w:rPr>
          <w:rFonts w:hint="eastAsia" w:ascii="仿宋_GB2312" w:hAnsi="仿宋_GB2312" w:cs="仿宋_GB2312"/>
          <w:lang w:eastAsia="zh-CN"/>
        </w:rPr>
        <w:t>（</w:t>
      </w:r>
      <w:r>
        <w:rPr>
          <w:rFonts w:hint="eastAsia" w:ascii="Times New Roman" w:hAnsi="Times New Roman" w:cs="Times New Roman"/>
          <w:lang w:val="en-US" w:eastAsia="zh-CN"/>
        </w:rPr>
        <w:t>10</w:t>
      </w:r>
      <w:r>
        <w:rPr>
          <w:rFonts w:hint="eastAsia" w:ascii="仿宋_GB2312" w:hAnsi="仿宋_GB2312" w:cs="仿宋_GB2312"/>
          <w:lang w:val="en-US" w:eastAsia="zh-CN"/>
        </w:rPr>
        <w:t>分</w:t>
      </w:r>
      <w:r>
        <w:rPr>
          <w:rFonts w:hint="eastAsia" w:ascii="仿宋_GB2312" w:hAnsi="仿宋_GB2312" w:cs="仿宋_GB2312"/>
          <w:lang w:eastAsia="zh-CN"/>
        </w:rPr>
        <w:t>）</w:t>
      </w:r>
      <w:bookmarkEnd w:id="32"/>
    </w:p>
    <w:p w14:paraId="31E2C90D">
      <w:pPr>
        <w:spacing w:line="600" w:lineRule="exact"/>
        <w:ind w:firstLine="640" w:firstLineChars="200"/>
        <w:rPr>
          <w:rFonts w:hint="eastAsia" w:eastAsia="仿宋_GB2312"/>
          <w:lang w:eastAsia="zh-CN"/>
        </w:rPr>
      </w:pPr>
      <w:r>
        <w:rPr>
          <w:rFonts w:hint="eastAsia" w:ascii="仿宋_GB2312" w:hAnsi="仿宋_GB2312" w:cs="仿宋_GB2312"/>
        </w:rPr>
        <w:t>该指标评价项目</w:t>
      </w:r>
      <w:r>
        <w:rPr>
          <w:rFonts w:hint="eastAsia" w:ascii="仿宋_GB2312" w:hAnsi="仿宋_GB2312" w:cs="仿宋_GB2312"/>
          <w:lang w:val="en-US" w:eastAsia="zh-CN"/>
        </w:rPr>
        <w:t>资金管理标准是否符合专项资金管理要求</w:t>
      </w:r>
      <w:r>
        <w:rPr>
          <w:rFonts w:hint="eastAsia" w:ascii="仿宋_GB2312" w:hAnsi="仿宋_GB2312" w:cs="仿宋_GB2312"/>
          <w:lang w:eastAsia="zh-CN"/>
        </w:rPr>
        <w:t>。</w:t>
      </w:r>
    </w:p>
    <w:p w14:paraId="3B67B46A">
      <w:pPr>
        <w:spacing w:line="600" w:lineRule="exact"/>
        <w:ind w:firstLine="640" w:firstLineChars="200"/>
        <w:rPr>
          <w:rFonts w:hint="default" w:ascii="仿宋_GB2312" w:hAnsi="仿宋_GB2312" w:cs="仿宋_GB2312"/>
          <w:lang w:val="en-US" w:eastAsia="zh-CN"/>
        </w:rPr>
      </w:pPr>
      <w:r>
        <w:rPr>
          <w:rFonts w:hint="eastAsia" w:ascii="仿宋_GB2312" w:hAnsi="仿宋_GB2312" w:cs="仿宋_GB2312"/>
          <w:lang w:val="en-US" w:eastAsia="zh-CN"/>
        </w:rPr>
        <w:t>评价结果：经核实，</w:t>
      </w:r>
      <w:r>
        <w:rPr>
          <w:rFonts w:hint="eastAsia" w:ascii="Times New Roman" w:hAnsi="Times New Roman" w:cs="Times New Roman"/>
          <w:lang w:val="en-US" w:eastAsia="zh-CN"/>
        </w:rPr>
        <w:t>2025</w:t>
      </w:r>
      <w:r>
        <w:rPr>
          <w:rFonts w:hint="eastAsia" w:ascii="仿宋_GB2312" w:hAnsi="仿宋_GB2312" w:cs="仿宋_GB2312"/>
          <w:lang w:val="en-US" w:eastAsia="zh-CN"/>
        </w:rPr>
        <w:t>年岳池县</w:t>
      </w:r>
      <w:r>
        <w:rPr>
          <w:rFonts w:hint="default" w:ascii="Times New Roman" w:hAnsi="Times New Roman" w:cs="Times New Roman"/>
          <w:lang w:val="en-US" w:eastAsia="zh-CN"/>
        </w:rPr>
        <w:t>外出务工交通补助</w:t>
      </w:r>
      <w:r>
        <w:rPr>
          <w:rFonts w:hint="eastAsia" w:cs="Times New Roman"/>
          <w:lang w:val="en-US" w:eastAsia="zh-CN"/>
        </w:rPr>
        <w:t>（第五批）项目</w:t>
      </w:r>
      <w:r>
        <w:rPr>
          <w:rFonts w:hint="eastAsia" w:ascii="仿宋_GB2312" w:hAnsi="仿宋_GB2312" w:cs="仿宋_GB2312"/>
          <w:lang w:val="en-US" w:eastAsia="zh-CN"/>
        </w:rPr>
        <w:t>严格按照省、市、县文件执行，补贴标准符合资金管理办法，</w:t>
      </w:r>
      <w:r>
        <w:rPr>
          <w:rFonts w:hint="eastAsia"/>
          <w:highlight w:val="none"/>
          <w:lang w:val="en-US" w:eastAsia="zh-CN"/>
        </w:rPr>
        <w:t>2025年岳池县27个乡镇的脱贫户、监测户均纳入补助范围，按照</w:t>
      </w:r>
      <w:r>
        <w:rPr>
          <w:rFonts w:hint="eastAsia" w:cs="Times New Roman"/>
          <w:szCs w:val="32"/>
          <w:lang w:val="en-US" w:eastAsia="zh-CN"/>
        </w:rPr>
        <w:t>县域外省域内、省外稳定务工就业3个月以上（含3个月）6个月以下的，分别给予200元和800元一次性交通补助；6个月以上（含6个月）的分别给予400元和1200元一次性交通补助的标准执行。</w:t>
      </w:r>
    </w:p>
    <w:p w14:paraId="391F82C0">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综上，该指标10分，评价得分</w:t>
      </w:r>
      <w:r>
        <w:rPr>
          <w:rFonts w:hint="eastAsia" w:cs="Times New Roman"/>
          <w:szCs w:val="32"/>
          <w:lang w:val="en-US" w:eastAsia="zh-CN"/>
        </w:rPr>
        <w:t>10</w:t>
      </w:r>
      <w:r>
        <w:rPr>
          <w:rFonts w:hint="eastAsia" w:ascii="Times New Roman" w:hAnsi="Times New Roman" w:cs="Times New Roman"/>
          <w:szCs w:val="32"/>
          <w:lang w:val="en-US" w:eastAsia="zh-CN"/>
        </w:rPr>
        <w:t>分。</w:t>
      </w:r>
      <w:bookmarkStart w:id="33" w:name="_Toc25507"/>
    </w:p>
    <w:p w14:paraId="3A5EFFDE">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3.个性指标分析</w:t>
      </w:r>
      <w:bookmarkEnd w:id="33"/>
    </w:p>
    <w:p w14:paraId="43E3C8A7">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一级指标“个性指标”赋分16分，下设程序合规性、群众满意度</w:t>
      </w:r>
      <w:r>
        <w:rPr>
          <w:rFonts w:hint="eastAsia" w:cs="Times New Roman"/>
          <w:szCs w:val="32"/>
          <w:lang w:val="en-US" w:eastAsia="zh-CN"/>
        </w:rPr>
        <w:t>2</w:t>
      </w:r>
      <w:r>
        <w:rPr>
          <w:rFonts w:hint="eastAsia" w:ascii="Times New Roman" w:hAnsi="Times New Roman" w:cs="Times New Roman"/>
          <w:szCs w:val="32"/>
          <w:lang w:val="en-US" w:eastAsia="zh-CN"/>
        </w:rPr>
        <w:t>个三级指标。</w:t>
      </w:r>
    </w:p>
    <w:p w14:paraId="4C82A0D1">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（1）程序合规性（10分）</w:t>
      </w:r>
    </w:p>
    <w:p w14:paraId="72BD487E">
      <w:pPr>
        <w:spacing w:line="590" w:lineRule="exact"/>
        <w:ind w:firstLine="640" w:firstLineChars="200"/>
        <w:rPr>
          <w:rFonts w:hint="eastAsia" w:ascii="仿宋_GB2312" w:hAnsi="仿宋_GB2312" w:eastAsia="仿宋_GB2312" w:cs="仿宋_GB2312"/>
          <w:lang w:eastAsia="zh-CN"/>
        </w:rPr>
      </w:pPr>
      <w:r>
        <w:rPr>
          <w:rFonts w:hint="eastAsia" w:ascii="仿宋_GB2312" w:hAnsi="仿宋_GB2312" w:cs="仿宋_GB2312"/>
        </w:rPr>
        <w:t>该指标评价项目</w:t>
      </w:r>
      <w:r>
        <w:rPr>
          <w:rFonts w:hint="eastAsia" w:ascii="仿宋_GB2312" w:hAnsi="仿宋_GB2312" w:cs="仿宋_GB2312"/>
          <w:lang w:val="en-US" w:eastAsia="zh-CN"/>
        </w:rPr>
        <w:t>实施过程合规性</w:t>
      </w:r>
      <w:r>
        <w:rPr>
          <w:rFonts w:hint="eastAsia" w:ascii="仿宋_GB2312" w:hAnsi="仿宋_GB2312" w:cs="仿宋_GB2312"/>
          <w:lang w:eastAsia="zh-CN"/>
        </w:rPr>
        <w:t>。</w:t>
      </w:r>
    </w:p>
    <w:p w14:paraId="7A5862A8">
      <w:pPr>
        <w:spacing w:line="600" w:lineRule="exact"/>
        <w:ind w:firstLine="640" w:firstLineChars="200"/>
        <w:rPr>
          <w:rFonts w:hint="default" w:ascii="Times New Roman" w:hAnsi="Times New Roman" w:cs="Times New Roman"/>
          <w:szCs w:val="32"/>
          <w:lang w:val="en-US" w:eastAsia="zh-CN"/>
        </w:rPr>
      </w:pPr>
      <w:r>
        <w:rPr>
          <w:rFonts w:hint="default"/>
          <w:lang w:val="en-US" w:eastAsia="zh-CN"/>
        </w:rPr>
        <w:t>评价组随机抽查西板镇、镇裕镇、花园镇3个乡镇的资格认定及资料归档情况，</w:t>
      </w:r>
      <w:r>
        <w:rPr>
          <w:rFonts w:hint="eastAsia"/>
          <w:lang w:val="en-US" w:eastAsia="zh-CN"/>
        </w:rPr>
        <w:t>认定程序合规、资料齐全</w:t>
      </w:r>
      <w:r>
        <w:rPr>
          <w:rFonts w:hint="default"/>
          <w:lang w:val="en-US" w:eastAsia="zh-CN"/>
        </w:rPr>
        <w:t>。</w:t>
      </w:r>
    </w:p>
    <w:p w14:paraId="595B5B5E">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综上，该指标10分，评价得分</w:t>
      </w:r>
      <w:r>
        <w:rPr>
          <w:rFonts w:hint="eastAsia" w:cs="Times New Roman"/>
          <w:szCs w:val="32"/>
          <w:lang w:val="en-US" w:eastAsia="zh-CN"/>
        </w:rPr>
        <w:t>10</w:t>
      </w:r>
      <w:r>
        <w:rPr>
          <w:rFonts w:hint="eastAsia" w:ascii="Times New Roman" w:hAnsi="Times New Roman" w:cs="Times New Roman"/>
          <w:szCs w:val="32"/>
          <w:lang w:val="en-US" w:eastAsia="zh-CN"/>
        </w:rPr>
        <w:t>分。</w:t>
      </w:r>
    </w:p>
    <w:p w14:paraId="135A5EBF">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（2）群众满意度（6分）</w:t>
      </w:r>
    </w:p>
    <w:p w14:paraId="15FCE38C">
      <w:pPr>
        <w:adjustRightInd w:val="0"/>
        <w:snapToGrid w:val="0"/>
        <w:spacing w:line="560" w:lineRule="exact"/>
        <w:ind w:firstLine="64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该指标评价受益对象对项目实施的满意度情况。</w:t>
      </w:r>
    </w:p>
    <w:p w14:paraId="05B7BAD9">
      <w:pPr>
        <w:adjustRightInd w:val="0"/>
        <w:snapToGrid w:val="0"/>
        <w:spacing w:line="560" w:lineRule="exact"/>
        <w:ind w:firstLine="64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评价组通过问卷调查的方式，对项目实施必要性、程序便捷性、补助发放及时性等进行了问卷调查。共计发放调查问卷20份，收回20份。根据反馈的问卷数据，92%的受访对象认为项目实施效果较好。</w:t>
      </w:r>
    </w:p>
    <w:p w14:paraId="5B5FE985">
      <w:pPr>
        <w:adjustRightInd w:val="0"/>
        <w:snapToGrid w:val="0"/>
        <w:spacing w:line="560" w:lineRule="exact"/>
        <w:ind w:firstLine="64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综上，该指标6分，评价得分5分。</w:t>
      </w:r>
    </w:p>
    <w:p w14:paraId="75F6C556">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sz w:val="32"/>
          <w:szCs w:val="32"/>
        </w:rPr>
      </w:pPr>
      <w:bookmarkStart w:id="34" w:name="_Toc8122"/>
      <w:r>
        <w:rPr>
          <w:rFonts w:hint="eastAsia"/>
          <w:sz w:val="32"/>
          <w:szCs w:val="32"/>
        </w:rPr>
        <w:t>四、存在主要问题</w:t>
      </w:r>
      <w:bookmarkEnd w:id="34"/>
    </w:p>
    <w:p w14:paraId="30DB321A">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35" w:name="_Toc13692"/>
      <w:r>
        <w:rPr>
          <w:rFonts w:hint="eastAsia" w:ascii="楷体_GB2312" w:hAnsi="楷体_GB2312" w:eastAsia="楷体_GB2312" w:cs="楷体_GB2312"/>
          <w:b/>
          <w:lang w:val="en-US" w:eastAsia="zh-CN"/>
        </w:rPr>
        <w:t>（一）绩效管理工作不细致</w:t>
      </w:r>
      <w:bookmarkEnd w:id="35"/>
    </w:p>
    <w:p w14:paraId="5E6C0913">
      <w:pPr>
        <w:bidi w:val="0"/>
        <w:ind w:firstLine="640" w:firstLineChars="200"/>
        <w:rPr>
          <w:rFonts w:hint="eastAsia"/>
          <w:lang w:val="en-US" w:eastAsia="zh-CN"/>
        </w:rPr>
      </w:pPr>
      <w:r>
        <w:rPr>
          <w:rFonts w:hint="eastAsia"/>
          <w:highlight w:val="none"/>
          <w:lang w:val="en-US" w:eastAsia="zh-CN"/>
        </w:rPr>
        <w:t>2025年，岳池县农业农村局完成《绩效目标自评表》填报和自评报告，但自评报告质量不高，未能对项目成效体系化梳理，绩效自评报告存在逻辑性不强的问题。</w:t>
      </w:r>
    </w:p>
    <w:p w14:paraId="5DFE7444">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36" w:name="_Toc30023"/>
      <w:r>
        <w:rPr>
          <w:rFonts w:hint="eastAsia" w:ascii="楷体_GB2312" w:hAnsi="楷体_GB2312" w:eastAsia="楷体_GB2312" w:cs="楷体_GB2312"/>
          <w:b/>
          <w:lang w:val="en-US" w:eastAsia="zh-CN"/>
        </w:rPr>
        <w:t>（二）个别补助对象信息修改完善不及时</w:t>
      </w:r>
      <w:bookmarkEnd w:id="36"/>
    </w:p>
    <w:p w14:paraId="13FDAF80">
      <w:pPr>
        <w:numPr>
          <w:ilvl w:val="0"/>
          <w:numId w:val="0"/>
        </w:numPr>
        <w:spacing w:line="590" w:lineRule="exact"/>
        <w:ind w:firstLine="640" w:firstLineChars="200"/>
        <w:rPr>
          <w:rFonts w:hint="eastAsia"/>
          <w:highlight w:val="yellow"/>
          <w:lang w:val="en-US" w:eastAsia="zh-CN"/>
        </w:rPr>
      </w:pPr>
      <w:r>
        <w:rPr>
          <w:rFonts w:hint="eastAsia"/>
          <w:highlight w:val="none"/>
          <w:lang w:val="en-US" w:eastAsia="zh-CN"/>
        </w:rPr>
        <w:t>主要是因为个别受益对象账号错误等原因导致发放失败，乡镇及部门收集信息不及时，导致部分补助多次发放失败后才成功发放。</w:t>
      </w:r>
    </w:p>
    <w:p w14:paraId="55018327">
      <w:pPr>
        <w:tabs>
          <w:tab w:val="left" w:pos="3885"/>
        </w:tabs>
        <w:spacing w:line="590" w:lineRule="exact"/>
        <w:outlineLvl w:val="0"/>
        <w:rPr>
          <w:rFonts w:hint="eastAsia" w:ascii="宋体" w:hAnsi="宋体" w:eastAsia="黑体" w:cs="宋体"/>
          <w:b/>
          <w:bCs/>
          <w:kern w:val="44"/>
          <w:sz w:val="32"/>
          <w:szCs w:val="48"/>
          <w:lang w:val="en-US" w:eastAsia="zh-CN" w:bidi="ar"/>
        </w:rPr>
      </w:pPr>
      <w:r>
        <w:rPr>
          <w:rFonts w:hint="eastAsia" w:ascii="仿宋_GB2312" w:hAnsi="仿宋_GB2312" w:cs="仿宋_GB2312"/>
        </w:rPr>
        <w:t xml:space="preserve">   </w:t>
      </w:r>
      <w:r>
        <w:rPr>
          <w:rFonts w:hint="eastAsia" w:ascii="黑体" w:hAnsi="黑体" w:eastAsia="黑体" w:cs="黑体"/>
        </w:rPr>
        <w:t xml:space="preserve"> </w:t>
      </w:r>
      <w:bookmarkStart w:id="37" w:name="_Toc2600"/>
      <w:r>
        <w:rPr>
          <w:rFonts w:hint="eastAsia" w:ascii="宋体" w:hAnsi="宋体" w:eastAsia="黑体" w:cs="宋体"/>
          <w:b/>
          <w:bCs/>
          <w:kern w:val="44"/>
          <w:sz w:val="32"/>
          <w:szCs w:val="48"/>
          <w:lang w:val="en-US" w:eastAsia="zh-CN" w:bidi="ar"/>
        </w:rPr>
        <w:t>五、相关措施建议</w:t>
      </w:r>
      <w:bookmarkEnd w:id="37"/>
    </w:p>
    <w:p w14:paraId="74208F07">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default" w:ascii="楷体_GB2312" w:hAnsi="楷体_GB2312" w:eastAsia="楷体_GB2312" w:cs="楷体_GB2312"/>
          <w:b/>
          <w:lang w:val="en-US" w:eastAsia="zh-CN"/>
        </w:rPr>
      </w:pPr>
      <w:bookmarkStart w:id="38" w:name="_Toc2155"/>
      <w:r>
        <w:rPr>
          <w:rFonts w:hint="eastAsia" w:ascii="楷体_GB2312" w:hAnsi="楷体_GB2312" w:eastAsia="楷体_GB2312" w:cs="楷体_GB2312"/>
          <w:b/>
          <w:lang w:val="en-US" w:eastAsia="zh-CN"/>
        </w:rPr>
        <w:t>（一）加强绩效管理工作</w:t>
      </w:r>
      <w:bookmarkEnd w:id="38"/>
    </w:p>
    <w:p w14:paraId="620765B7">
      <w:pPr>
        <w:spacing w:line="590" w:lineRule="exact"/>
        <w:ind w:firstLine="640" w:firstLineChars="200"/>
        <w:rPr>
          <w:rFonts w:ascii="仿宋_GB2312" w:hAnsi="仿宋_GB2312" w:cs="仿宋_GB2312"/>
        </w:rPr>
      </w:pPr>
      <w:r>
        <w:rPr>
          <w:rFonts w:hint="eastAsia" w:ascii="Times New Roman" w:hAnsi="Times New Roman" w:cs="Times New Roman"/>
          <w:lang w:val="en-US" w:eastAsia="zh-CN"/>
        </w:rPr>
        <w:t>建议深刻领会并扎实开展绩效自评，严格按照绩效自评相关要求，组织业务人员、技术专家对单位绩效管理情况进行认真细致评价，提升自评质量。同时，主动将自评发现的问题运用到改进工作中，不断提升单位绩效管理水平。</w:t>
      </w:r>
    </w:p>
    <w:p w14:paraId="1EE7558B">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39" w:name="_Toc27099"/>
      <w:r>
        <w:rPr>
          <w:rFonts w:hint="eastAsia" w:ascii="楷体_GB2312" w:hAnsi="楷体_GB2312" w:eastAsia="楷体_GB2312" w:cs="楷体_GB2312"/>
          <w:b/>
          <w:lang w:val="en-US" w:eastAsia="zh-CN"/>
        </w:rPr>
        <w:t>（二）及时发放补助资金</w:t>
      </w:r>
      <w:bookmarkEnd w:id="39"/>
    </w:p>
    <w:p w14:paraId="23010917">
      <w:pPr>
        <w:adjustRightInd w:val="0"/>
        <w:snapToGrid w:val="0"/>
        <w:spacing w:line="560" w:lineRule="exact"/>
        <w:ind w:firstLine="640" w:firstLineChars="200"/>
        <w:jc w:val="both"/>
        <w:rPr>
          <w:rFonts w:hint="default" w:ascii="Times New Roman" w:hAnsi="Times New Roman" w:cs="Times New Roman"/>
        </w:rPr>
      </w:pPr>
      <w:r>
        <w:rPr>
          <w:rFonts w:hint="eastAsia" w:ascii="Times New Roman" w:hAnsi="Times New Roman" w:cs="Times New Roman"/>
          <w:highlight w:val="none"/>
          <w:lang w:val="en-US" w:eastAsia="zh-CN"/>
        </w:rPr>
        <w:t>建议县农业农村局及时</w:t>
      </w:r>
      <w:r>
        <w:rPr>
          <w:rFonts w:hint="eastAsia" w:cs="Times New Roman"/>
          <w:highlight w:val="none"/>
          <w:lang w:val="en-US" w:eastAsia="zh-CN"/>
        </w:rPr>
        <w:t>收集完善补助对象相关资料</w:t>
      </w:r>
      <w:r>
        <w:rPr>
          <w:rFonts w:hint="eastAsia" w:ascii="Times New Roman" w:hAnsi="Times New Roman" w:cs="Times New Roman"/>
          <w:highlight w:val="none"/>
          <w:lang w:val="en-US" w:eastAsia="zh-CN"/>
        </w:rPr>
        <w:t>，对于因个人原因无法发放到位的情况，</w:t>
      </w:r>
      <w:r>
        <w:rPr>
          <w:rFonts w:hint="eastAsia" w:ascii="Times New Roman" w:hAnsi="Times New Roman" w:cs="Times New Roman"/>
          <w:lang w:val="en-US" w:eastAsia="zh-CN"/>
        </w:rPr>
        <w:t>及时与乡镇及村社沟通，联系本人及家属确定发放方式，对于确认放弃补助的相关人员，做好书面声明，备查留底。</w:t>
      </w:r>
    </w:p>
    <w:p w14:paraId="05E96181">
      <w:pPr>
        <w:spacing w:line="590" w:lineRule="exact"/>
        <w:ind w:firstLine="640" w:firstLineChars="200"/>
        <w:rPr>
          <w:rFonts w:hint="default" w:ascii="Times New Roman" w:hAnsi="Times New Roman" w:cs="Times New Roman"/>
        </w:rPr>
        <w:sectPr>
          <w:footerReference r:id="rId3" w:type="default"/>
          <w:pgSz w:w="11906" w:h="16838"/>
          <w:pgMar w:top="1440" w:right="1800" w:bottom="1440" w:left="1800" w:header="851" w:footer="1417" w:gutter="0"/>
          <w:pgBorders>
            <w:top w:val="none" w:sz="0" w:space="0"/>
            <w:left w:val="none" w:sz="0" w:space="0"/>
            <w:bottom w:val="none" w:sz="0" w:space="0"/>
            <w:right w:val="none" w:sz="0" w:space="0"/>
          </w:pgBorders>
          <w:pgNumType w:start="1"/>
          <w:cols w:space="0" w:num="1"/>
          <w:docGrid w:type="lines" w:linePitch="312" w:charSpace="0"/>
        </w:sectPr>
      </w:pPr>
    </w:p>
    <w:p w14:paraId="49922899">
      <w:pPr>
        <w:adjustRightInd w:val="0"/>
        <w:snapToGrid w:val="0"/>
        <w:spacing w:line="56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方正小标宋简体" w:cs="Times New Roman"/>
          <w:bCs/>
          <w:sz w:val="44"/>
          <w:szCs w:val="36"/>
          <w:lang w:val="en-US" w:eastAsia="zh-CN"/>
        </w:rPr>
        <w:t>2025年乡村振兴衔接资金-开发式公岗项目</w:t>
      </w:r>
    </w:p>
    <w:p w14:paraId="6C32D534">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sz w:val="32"/>
          <w:szCs w:val="32"/>
        </w:rPr>
      </w:pPr>
      <w:bookmarkStart w:id="40" w:name="_Toc12269"/>
      <w:r>
        <w:rPr>
          <w:rFonts w:hint="eastAsia"/>
          <w:sz w:val="32"/>
          <w:szCs w:val="32"/>
        </w:rPr>
        <w:t>一、项目基本情况</w:t>
      </w:r>
      <w:bookmarkEnd w:id="40"/>
    </w:p>
    <w:p w14:paraId="3CCB5EC9">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lang w:val="en-US" w:eastAsia="zh-CN"/>
        </w:rPr>
      </w:pPr>
      <w:bookmarkStart w:id="41" w:name="_Toc12313"/>
      <w:r>
        <w:rPr>
          <w:rFonts w:hint="eastAsia" w:ascii="楷体_GB2312" w:hAnsi="楷体_GB2312" w:eastAsia="楷体_GB2312" w:cs="楷体_GB2312"/>
          <w:lang w:val="en-US" w:eastAsia="zh-CN"/>
        </w:rPr>
        <w:t>（一）</w:t>
      </w:r>
      <w:r>
        <w:rPr>
          <w:rFonts w:hint="eastAsia" w:ascii="Times New Roman" w:hAnsi="Times New Roman" w:eastAsia="楷体_GB2312" w:cs="Times New Roman"/>
          <w:b/>
          <w:szCs w:val="32"/>
          <w:lang w:val="en-US" w:eastAsia="zh-CN"/>
        </w:rPr>
        <w:t>项目</w:t>
      </w:r>
      <w:r>
        <w:rPr>
          <w:rFonts w:hint="eastAsia" w:eastAsia="楷体_GB2312" w:cs="Times New Roman"/>
          <w:b/>
          <w:szCs w:val="32"/>
          <w:lang w:val="en-US" w:eastAsia="zh-CN"/>
        </w:rPr>
        <w:t>基本情况</w:t>
      </w:r>
      <w:bookmarkEnd w:id="41"/>
    </w:p>
    <w:p w14:paraId="155F9A7A">
      <w:p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为深入贯彻落实《关于印发〈广安市促进脱贫人口增收致富让脱贫群众生活更上一层楼行动2025年度工作方案〉的通知》（广乡振专办〔2025〕1号）要求，切实巩固拓展脱贫攻坚成果，促进脱贫人口在2025年持续增收致富，岳池县农业农村局牵头制定《岳池县促进脱贫人口增收致富让脱贫群众生活更上一层楼行动2025年度工作方案》，拟投入衔接资金统筹安排乡村公益性岗位。此项目由县人力资源和社会保障局、县农业农村局、县自然资源和规划局、县水务局等部门牵头，各乡镇（街道）为责任单位。</w:t>
      </w:r>
    </w:p>
    <w:p w14:paraId="33243FC9">
      <w:p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岳池县农业农村局于2025年3月印发《岳池县2025年开发式公益岗位开发工作方案》，规划在全县开发巡山护林、乡风文明、环境整治等开发式公益岗位，明确了岗位申报对象、数量标准、薪资待遇、经办流程及“打卡签到”“杜绝吃空饷”等管理要求。</w:t>
      </w:r>
    </w:p>
    <w:p w14:paraId="599AF094">
      <w:pPr>
        <w:adjustRightInd w:val="0"/>
        <w:snapToGrid w:val="0"/>
        <w:spacing w:line="560" w:lineRule="exact"/>
        <w:ind w:firstLine="640" w:firstLineChars="200"/>
        <w:rPr>
          <w:rFonts w:hint="eastAsia" w:cs="Times New Roman"/>
          <w:szCs w:val="32"/>
          <w:lang w:val="en-US" w:eastAsia="zh-CN"/>
        </w:rPr>
      </w:pPr>
      <w:r>
        <w:rPr>
          <w:rFonts w:hint="eastAsia" w:cs="Times New Roman"/>
          <w:szCs w:val="32"/>
          <w:lang w:val="en-US" w:eastAsia="zh-CN"/>
        </w:rPr>
        <w:t>根据岳池县财政局 岳池县农业农村局《关于印发〈岳池县2025年财政衔接推进乡村振兴补助资金（第一批）项目实施方案〉的通知》（岳财发〔2025〕26号），开发式公岗预计设置5500个岗位，任期为2-7个月/岗，补助标准每人每月500元，项目计划于9月底全面完成。</w:t>
      </w:r>
    </w:p>
    <w:p w14:paraId="0CA2AD38">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42" w:name="_Toc4792"/>
      <w:r>
        <w:rPr>
          <w:rFonts w:hint="eastAsia" w:ascii="楷体_GB2312" w:hAnsi="楷体_GB2312" w:eastAsia="楷体_GB2312" w:cs="楷体_GB2312"/>
          <w:b/>
          <w:lang w:val="en-US" w:eastAsia="zh-CN"/>
        </w:rPr>
        <w:t>（二）项目实施情况</w:t>
      </w:r>
      <w:bookmarkEnd w:id="42"/>
    </w:p>
    <w:p w14:paraId="431A8C27">
      <w:pPr>
        <w:adjustRightInd w:val="0"/>
        <w:snapToGrid w:val="0"/>
        <w:spacing w:line="560" w:lineRule="exact"/>
        <w:ind w:firstLine="643" w:firstLineChars="200"/>
        <w:outlineLvl w:val="2"/>
        <w:rPr>
          <w:rFonts w:hint="eastAsia" w:ascii="Times New Roman" w:hAnsi="Times New Roman" w:eastAsia="楷体_GB2312" w:cs="Times New Roman"/>
          <w:b/>
          <w:bCs/>
          <w:szCs w:val="32"/>
          <w:lang w:val="en-US" w:eastAsia="zh-CN"/>
        </w:rPr>
      </w:pPr>
      <w:r>
        <w:rPr>
          <w:rFonts w:hint="eastAsia" w:ascii="Times New Roman" w:hAnsi="Times New Roman" w:eastAsia="楷体_GB2312" w:cs="Times New Roman"/>
          <w:b/>
          <w:bCs/>
          <w:szCs w:val="32"/>
          <w:lang w:val="en-US" w:eastAsia="zh-CN"/>
        </w:rPr>
        <w:t>1.立项情况</w:t>
      </w:r>
    </w:p>
    <w:p w14:paraId="73B01526">
      <w:pPr>
        <w:adjustRightInd w:val="0"/>
        <w:snapToGrid w:val="0"/>
        <w:spacing w:line="560" w:lineRule="exact"/>
        <w:ind w:firstLine="640" w:firstLineChars="200"/>
        <w:rPr>
          <w:rFonts w:hint="default" w:cs="Times New Roman"/>
          <w:szCs w:val="32"/>
          <w:highlight w:val="none"/>
          <w:lang w:val="en-US" w:eastAsia="zh-CN"/>
        </w:rPr>
      </w:pPr>
      <w:r>
        <w:rPr>
          <w:rFonts w:hint="eastAsia" w:cs="Times New Roman"/>
          <w:szCs w:val="32"/>
          <w:highlight w:val="none"/>
          <w:lang w:val="en-US" w:eastAsia="zh-CN"/>
        </w:rPr>
        <w:t>2025年4月10日，岳池县农业农村局编制《岳池县2025年财政衔接推进乡村振兴补助资金（第一批）项目实施方案（审议稿）》，并向岳池县人民政府请示，请求解决2025年乡村振兴衔接资金中的开发式公岗项目资金问题，得到批准。</w:t>
      </w:r>
    </w:p>
    <w:p w14:paraId="1C46CAA5">
      <w:pPr>
        <w:numPr>
          <w:ilvl w:val="0"/>
          <w:numId w:val="0"/>
        </w:numPr>
        <w:adjustRightInd w:val="0"/>
        <w:snapToGrid w:val="0"/>
        <w:spacing w:line="560" w:lineRule="exact"/>
        <w:ind w:firstLine="643" w:firstLineChars="200"/>
        <w:outlineLvl w:val="2"/>
        <w:rPr>
          <w:rFonts w:hint="eastAsia" w:ascii="Times New Roman" w:hAnsi="Times New Roman" w:eastAsia="楷体_GB2312" w:cs="Times New Roman"/>
          <w:b/>
          <w:bCs/>
          <w:szCs w:val="32"/>
          <w:lang w:val="en-US" w:eastAsia="zh-CN"/>
        </w:rPr>
      </w:pPr>
      <w:r>
        <w:rPr>
          <w:rFonts w:hint="eastAsia" w:eastAsia="楷体_GB2312" w:cs="Times New Roman"/>
          <w:b/>
          <w:bCs/>
          <w:szCs w:val="32"/>
          <w:lang w:val="en-US" w:eastAsia="zh-CN"/>
        </w:rPr>
        <w:t>2.</w:t>
      </w:r>
      <w:r>
        <w:rPr>
          <w:rFonts w:hint="eastAsia" w:ascii="Times New Roman" w:hAnsi="Times New Roman" w:eastAsia="楷体_GB2312" w:cs="Times New Roman"/>
          <w:b/>
          <w:bCs/>
          <w:szCs w:val="32"/>
          <w:lang w:val="en-US" w:eastAsia="zh-CN"/>
        </w:rPr>
        <w:t>项目实施情况</w:t>
      </w:r>
    </w:p>
    <w:p w14:paraId="30C3FB91">
      <w:pPr>
        <w:bidi w:val="0"/>
        <w:ind w:firstLine="640" w:firstLineChars="200"/>
        <w:rPr>
          <w:rFonts w:hint="eastAsia"/>
          <w:lang w:val="en-US" w:eastAsia="zh-CN"/>
        </w:rPr>
      </w:pPr>
      <w:r>
        <w:rPr>
          <w:rFonts w:hint="eastAsia"/>
          <w:lang w:val="en-US" w:eastAsia="zh-CN"/>
        </w:rPr>
        <w:t>岳池县农业农村局2025年8月向27个乡镇拨付2025年开发式公益性岗位上岗人员第一批次补助资金425万元，上岗3014人，其中：脱贫户2796人，监测户218人。当月在岳池县人民政府官网对2025年开发式公益性岗位第一批次上岗人员补助资金进行公示。</w:t>
      </w:r>
    </w:p>
    <w:p w14:paraId="2B3743C5">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43" w:name="_Toc7459"/>
      <w:r>
        <w:rPr>
          <w:rFonts w:hint="eastAsia" w:ascii="楷体_GB2312" w:hAnsi="楷体_GB2312" w:eastAsia="楷体_GB2312" w:cs="楷体_GB2312"/>
          <w:b/>
          <w:lang w:val="en-US" w:eastAsia="zh-CN"/>
        </w:rPr>
        <w:t>（三）财政资金投入情况</w:t>
      </w:r>
      <w:bookmarkEnd w:id="43"/>
    </w:p>
    <w:p w14:paraId="5F22295D">
      <w:pPr>
        <w:snapToGrid w:val="0"/>
        <w:spacing w:line="600" w:lineRule="exact"/>
        <w:ind w:firstLine="640" w:firstLineChars="200"/>
        <w:rPr>
          <w:rFonts w:hint="eastAsia" w:ascii="仿宋_GB2312" w:hAnsi="仿宋_GB2312" w:cs="仿宋_GB2312"/>
          <w:highlight w:val="green"/>
        </w:rPr>
      </w:pPr>
      <w:r>
        <w:rPr>
          <w:rFonts w:hint="eastAsia" w:cs="Times New Roman"/>
          <w:szCs w:val="32"/>
          <w:lang w:val="en-US" w:eastAsia="zh-CN"/>
        </w:rPr>
        <w:t>项目</w:t>
      </w:r>
      <w:r>
        <w:rPr>
          <w:rFonts w:hint="eastAsia" w:ascii="Times New Roman" w:hAnsi="Times New Roman" w:cs="Times New Roman"/>
          <w:szCs w:val="32"/>
          <w:lang w:val="en-US" w:eastAsia="zh-CN"/>
        </w:rPr>
        <w:t>预算</w:t>
      </w:r>
      <w:r>
        <w:rPr>
          <w:rFonts w:hint="eastAsia" w:cs="Times New Roman"/>
          <w:szCs w:val="32"/>
          <w:lang w:val="en-US" w:eastAsia="zh-CN"/>
        </w:rPr>
        <w:t>425</w:t>
      </w:r>
      <w:r>
        <w:rPr>
          <w:rFonts w:hint="eastAsia" w:ascii="Times New Roman" w:hAnsi="Times New Roman" w:cs="Times New Roman"/>
          <w:szCs w:val="32"/>
          <w:lang w:val="en-US" w:eastAsia="zh-CN"/>
        </w:rPr>
        <w:t>万元，</w:t>
      </w:r>
      <w:r>
        <w:rPr>
          <w:rFonts w:hint="eastAsia" w:cs="Times New Roman"/>
          <w:szCs w:val="32"/>
          <w:lang w:val="en-US" w:eastAsia="zh-CN"/>
        </w:rPr>
        <w:t>截至2025年底，项目支出425</w:t>
      </w:r>
      <w:r>
        <w:rPr>
          <w:rFonts w:hint="eastAsia" w:ascii="Times New Roman" w:hAnsi="Times New Roman" w:cs="Times New Roman"/>
          <w:szCs w:val="32"/>
          <w:lang w:val="en-US" w:eastAsia="zh-CN"/>
        </w:rPr>
        <w:t>万元，预算执行率</w:t>
      </w:r>
      <w:r>
        <w:rPr>
          <w:rFonts w:hint="eastAsia" w:cs="Times New Roman"/>
          <w:szCs w:val="32"/>
          <w:lang w:val="en-US" w:eastAsia="zh-CN"/>
        </w:rPr>
        <w:t>100</w:t>
      </w:r>
      <w:r>
        <w:rPr>
          <w:rFonts w:hint="eastAsia" w:ascii="Times New Roman" w:hAnsi="Times New Roman" w:cs="Times New Roman"/>
          <w:szCs w:val="32"/>
          <w:lang w:val="en-US" w:eastAsia="zh-CN"/>
        </w:rPr>
        <w:t>%。</w:t>
      </w:r>
    </w:p>
    <w:p w14:paraId="398DA066">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44" w:name="_Toc5119"/>
      <w:r>
        <w:rPr>
          <w:rFonts w:hint="eastAsia" w:ascii="楷体_GB2312" w:hAnsi="楷体_GB2312" w:eastAsia="楷体_GB2312" w:cs="楷体_GB2312"/>
          <w:b/>
          <w:lang w:val="en-US" w:eastAsia="zh-CN"/>
        </w:rPr>
        <w:t>（四）项目绩效目标（</w:t>
      </w:r>
      <w:r>
        <w:rPr>
          <w:rFonts w:hint="eastAsia" w:ascii="Times New Roman" w:hAnsi="Times New Roman" w:eastAsia="仿宋_GB2312" w:cs="Times New Roman"/>
          <w:b w:val="0"/>
          <w:kern w:val="2"/>
          <w:sz w:val="32"/>
          <w:szCs w:val="32"/>
          <w:lang w:val="en-US" w:eastAsia="zh-CN" w:bidi="ar-SA"/>
        </w:rPr>
        <w:t>2025</w:t>
      </w:r>
      <w:r>
        <w:rPr>
          <w:rFonts w:hint="eastAsia" w:ascii="楷体_GB2312" w:hAnsi="楷体_GB2312" w:eastAsia="楷体_GB2312" w:cs="楷体_GB2312"/>
          <w:b/>
          <w:lang w:val="en-US" w:eastAsia="zh-CN"/>
        </w:rPr>
        <w:t>年）</w:t>
      </w:r>
      <w:bookmarkEnd w:id="44"/>
    </w:p>
    <w:tbl>
      <w:tblPr>
        <w:tblStyle w:val="15"/>
        <w:tblW w:w="8766" w:type="dxa"/>
        <w:tblInd w:w="0" w:type="dxa"/>
        <w:tblLayout w:type="fixed"/>
        <w:tblCellMar>
          <w:top w:w="0" w:type="dxa"/>
          <w:left w:w="108" w:type="dxa"/>
          <w:bottom w:w="0" w:type="dxa"/>
          <w:right w:w="108" w:type="dxa"/>
        </w:tblCellMar>
      </w:tblPr>
      <w:tblGrid>
        <w:gridCol w:w="2056"/>
        <w:gridCol w:w="1782"/>
        <w:gridCol w:w="3055"/>
        <w:gridCol w:w="1873"/>
      </w:tblGrid>
      <w:tr w14:paraId="6DB85BE1">
        <w:tblPrEx>
          <w:tblCellMar>
            <w:top w:w="0" w:type="dxa"/>
            <w:left w:w="108" w:type="dxa"/>
            <w:bottom w:w="0" w:type="dxa"/>
            <w:right w:w="108" w:type="dxa"/>
          </w:tblCellMar>
        </w:tblPrEx>
        <w:trPr>
          <w:trHeight w:val="567" w:hRule="exact"/>
          <w:tblHeader/>
        </w:trPr>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F138">
            <w:pPr>
              <w:widowControl/>
              <w:jc w:val="center"/>
              <w:textAlignment w:val="center"/>
              <w:rPr>
                <w:rFonts w:ascii="仿宋_GB2312" w:hAnsi="仿宋_GB2312" w:cs="仿宋_GB2312"/>
                <w:color w:val="000000"/>
                <w:sz w:val="21"/>
                <w:szCs w:val="21"/>
                <w:highlight w:val="none"/>
              </w:rPr>
            </w:pPr>
            <w:r>
              <w:rPr>
                <w:rFonts w:hint="eastAsia" w:ascii="仿宋_GB2312" w:hAnsi="仿宋_GB2312" w:cs="仿宋_GB2312"/>
                <w:color w:val="000000"/>
                <w:kern w:val="0"/>
                <w:sz w:val="21"/>
                <w:szCs w:val="21"/>
                <w:highlight w:val="none"/>
                <w:lang w:bidi="ar"/>
              </w:rPr>
              <w:t>年度目标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FE50">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bidi="ar"/>
              </w:rPr>
              <w:t>二级指标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985">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bidi="ar"/>
              </w:rPr>
              <w:t>三级指标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349E">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bidi="ar"/>
              </w:rPr>
              <w:t>指标值</w:t>
            </w:r>
          </w:p>
        </w:tc>
      </w:tr>
      <w:tr w14:paraId="275C150E">
        <w:tblPrEx>
          <w:tblCellMar>
            <w:top w:w="0" w:type="dxa"/>
            <w:left w:w="108" w:type="dxa"/>
            <w:bottom w:w="0" w:type="dxa"/>
            <w:right w:w="108" w:type="dxa"/>
          </w:tblCellMar>
        </w:tblPrEx>
        <w:trPr>
          <w:trHeight w:val="1090" w:hRule="exact"/>
        </w:trPr>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EAA49">
            <w:pPr>
              <w:widowControl/>
              <w:jc w:val="left"/>
              <w:textAlignment w:val="center"/>
              <w:rPr>
                <w:rFonts w:hint="default" w:ascii="仿宋_GB2312" w:hAnsi="仿宋_GB2312" w:cs="仿宋_GB2312"/>
                <w:color w:val="000000"/>
                <w:sz w:val="21"/>
                <w:szCs w:val="21"/>
                <w:highlight w:val="none"/>
                <w:lang w:val="en-US"/>
              </w:rPr>
            </w:pPr>
            <w:r>
              <w:rPr>
                <w:rFonts w:hint="eastAsia" w:ascii="仿宋_GB2312" w:hAnsi="仿宋_GB2312" w:cs="仿宋_GB2312"/>
                <w:color w:val="000000"/>
                <w:kern w:val="0"/>
                <w:sz w:val="21"/>
                <w:szCs w:val="21"/>
                <w:highlight w:val="none"/>
                <w:lang w:val="en-US" w:eastAsia="zh-CN" w:bidi="ar"/>
              </w:rPr>
              <w:t>为进一步促进脱贫人口、监测对象稳岗就业，扎实做好脱贫户、监测对象增收工作。</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7CB">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bidi="ar"/>
              </w:rPr>
              <w:t>数量指标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6793">
            <w:pPr>
              <w:widowControl/>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bidi="ar"/>
              </w:rPr>
              <w:t>通过规范的申报流程，确保符合条件的脱贫人口、监测对象发放开放式公益性岗位补贴</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FBA2">
            <w:pPr>
              <w:widowControl/>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bidi="ar"/>
              </w:rPr>
              <w:t>≥425万</w:t>
            </w:r>
          </w:p>
        </w:tc>
      </w:tr>
      <w:tr w14:paraId="057ECDD7">
        <w:tblPrEx>
          <w:tblCellMar>
            <w:top w:w="0" w:type="dxa"/>
            <w:left w:w="108" w:type="dxa"/>
            <w:bottom w:w="0" w:type="dxa"/>
            <w:right w:w="108" w:type="dxa"/>
          </w:tblCellMar>
        </w:tblPrEx>
        <w:trPr>
          <w:trHeight w:val="511" w:hRule="exac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C5C1">
            <w:pPr>
              <w:jc w:val="center"/>
              <w:rPr>
                <w:rFonts w:ascii="仿宋_GB2312" w:hAnsi="仿宋_GB2312" w:cs="仿宋_GB2312"/>
                <w:color w:val="000000"/>
                <w:sz w:val="21"/>
                <w:szCs w:val="21"/>
                <w:highlight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E5D2">
            <w:pPr>
              <w:widowControl/>
              <w:jc w:val="center"/>
              <w:textAlignment w:val="center"/>
              <w:rPr>
                <w:rFonts w:hint="default" w:ascii="Times New Roman" w:hAnsi="Times New Roman" w:cs="Times New Roman"/>
                <w:color w:val="000000"/>
                <w:kern w:val="0"/>
                <w:sz w:val="21"/>
                <w:szCs w:val="21"/>
                <w:highlight w:val="none"/>
                <w:lang w:bidi="ar"/>
              </w:rPr>
            </w:pPr>
            <w:r>
              <w:rPr>
                <w:rFonts w:hint="default" w:ascii="Times New Roman" w:hAnsi="Times New Roman" w:cs="Times New Roman"/>
                <w:color w:val="000000"/>
                <w:kern w:val="0"/>
                <w:sz w:val="21"/>
                <w:szCs w:val="21"/>
                <w:highlight w:val="none"/>
                <w:lang w:bidi="ar"/>
              </w:rPr>
              <w:t>质量指标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F53">
            <w:pPr>
              <w:widowControl/>
              <w:jc w:val="center"/>
              <w:textAlignment w:val="center"/>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岗位招聘流程合理性</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C41F">
            <w:pPr>
              <w:widowControl/>
              <w:jc w:val="center"/>
              <w:textAlignment w:val="center"/>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100</w:t>
            </w:r>
            <w:r>
              <w:rPr>
                <w:rFonts w:hint="default" w:ascii="Times New Roman" w:hAnsi="Times New Roman" w:cs="Times New Roman"/>
                <w:color w:val="000000"/>
                <w:kern w:val="0"/>
                <w:sz w:val="21"/>
                <w:szCs w:val="21"/>
                <w:highlight w:val="none"/>
                <w:lang w:bidi="ar"/>
              </w:rPr>
              <w:t>%</w:t>
            </w:r>
          </w:p>
        </w:tc>
      </w:tr>
      <w:tr w14:paraId="32DAB5BC">
        <w:tblPrEx>
          <w:tblCellMar>
            <w:top w:w="0" w:type="dxa"/>
            <w:left w:w="108" w:type="dxa"/>
            <w:bottom w:w="0" w:type="dxa"/>
            <w:right w:w="108" w:type="dxa"/>
          </w:tblCellMar>
        </w:tblPrEx>
        <w:trPr>
          <w:trHeight w:val="567" w:hRule="exac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9557C">
            <w:pPr>
              <w:jc w:val="center"/>
              <w:rPr>
                <w:rFonts w:ascii="仿宋_GB2312" w:hAnsi="仿宋_GB2312" w:cs="仿宋_GB2312"/>
                <w:color w:val="000000"/>
                <w:sz w:val="21"/>
                <w:szCs w:val="21"/>
                <w:highlight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E631">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bidi="ar"/>
              </w:rPr>
              <w:t>质量指标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6AD1">
            <w:pPr>
              <w:widowControl/>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bidi="ar"/>
              </w:rPr>
              <w:t>补贴对象与补贴条件相符率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C79C">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val="en-US" w:eastAsia="zh-CN" w:bidi="ar"/>
              </w:rPr>
              <w:t>100</w:t>
            </w:r>
            <w:r>
              <w:rPr>
                <w:rFonts w:hint="default" w:ascii="Times New Roman" w:hAnsi="Times New Roman" w:cs="Times New Roman"/>
                <w:color w:val="000000"/>
                <w:kern w:val="0"/>
                <w:sz w:val="21"/>
                <w:szCs w:val="21"/>
                <w:highlight w:val="none"/>
                <w:lang w:bidi="ar"/>
              </w:rPr>
              <w:t>%</w:t>
            </w:r>
          </w:p>
        </w:tc>
      </w:tr>
      <w:tr w14:paraId="69B800DB">
        <w:tblPrEx>
          <w:tblCellMar>
            <w:top w:w="0" w:type="dxa"/>
            <w:left w:w="108" w:type="dxa"/>
            <w:bottom w:w="0" w:type="dxa"/>
            <w:right w:w="108" w:type="dxa"/>
          </w:tblCellMar>
        </w:tblPrEx>
        <w:trPr>
          <w:trHeight w:val="515" w:hRule="exac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D9B5">
            <w:pPr>
              <w:jc w:val="center"/>
              <w:rPr>
                <w:rFonts w:ascii="仿宋_GB2312" w:hAnsi="仿宋_GB2312" w:cs="仿宋_GB2312"/>
                <w:color w:val="000000"/>
                <w:sz w:val="21"/>
                <w:szCs w:val="21"/>
                <w:highlight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097">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val="en-US" w:eastAsia="zh-CN" w:bidi="ar"/>
              </w:rPr>
              <w:t>时效指标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9708">
            <w:pPr>
              <w:widowControl/>
              <w:jc w:val="center"/>
              <w:textAlignment w:val="center"/>
              <w:rPr>
                <w:rFonts w:hint="default" w:ascii="Times New Roman" w:hAnsi="Times New Roman" w:cs="Times New Roman"/>
                <w:color w:val="000000"/>
                <w:sz w:val="21"/>
                <w:szCs w:val="21"/>
                <w:highlight w:val="none"/>
                <w:lang w:val="en-US"/>
              </w:rPr>
            </w:pPr>
            <w:r>
              <w:rPr>
                <w:rFonts w:hint="default" w:ascii="Times New Roman" w:hAnsi="Times New Roman" w:cs="Times New Roman"/>
                <w:color w:val="000000"/>
                <w:kern w:val="0"/>
                <w:sz w:val="21"/>
                <w:szCs w:val="21"/>
                <w:highlight w:val="none"/>
                <w:lang w:val="en-US" w:eastAsia="zh-CN" w:bidi="ar"/>
              </w:rPr>
              <w:t>补助资金及时发放</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462B">
            <w:pPr>
              <w:widowControl/>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bidi="ar"/>
              </w:rPr>
              <w:t>100</w:t>
            </w:r>
            <w:r>
              <w:rPr>
                <w:rFonts w:hint="default" w:ascii="Times New Roman" w:hAnsi="Times New Roman" w:cs="Times New Roman"/>
                <w:color w:val="000000"/>
                <w:kern w:val="0"/>
                <w:sz w:val="21"/>
                <w:szCs w:val="21"/>
                <w:highlight w:val="none"/>
                <w:lang w:bidi="ar"/>
              </w:rPr>
              <w:t>%</w:t>
            </w:r>
          </w:p>
        </w:tc>
      </w:tr>
      <w:tr w14:paraId="00A0ADDA">
        <w:tblPrEx>
          <w:tblCellMar>
            <w:top w:w="0" w:type="dxa"/>
            <w:left w:w="108" w:type="dxa"/>
            <w:bottom w:w="0" w:type="dxa"/>
            <w:right w:w="108" w:type="dxa"/>
          </w:tblCellMar>
        </w:tblPrEx>
        <w:trPr>
          <w:trHeight w:val="493" w:hRule="exac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9A84">
            <w:pPr>
              <w:jc w:val="center"/>
              <w:rPr>
                <w:rFonts w:ascii="仿宋_GB2312" w:hAnsi="仿宋_GB2312" w:cs="仿宋_GB2312"/>
                <w:color w:val="000000"/>
                <w:sz w:val="21"/>
                <w:szCs w:val="21"/>
                <w:highlight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0841">
            <w:pPr>
              <w:widowControl/>
              <w:jc w:val="center"/>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成本指标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E3EC">
            <w:pPr>
              <w:widowControl/>
              <w:jc w:val="center"/>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开放式公益岗位补贴标准</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A78A">
            <w:pPr>
              <w:widowControl/>
              <w:jc w:val="center"/>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500元/月/岗</w:t>
            </w:r>
          </w:p>
        </w:tc>
      </w:tr>
      <w:tr w14:paraId="1AA16230">
        <w:tblPrEx>
          <w:tblCellMar>
            <w:top w:w="0" w:type="dxa"/>
            <w:left w:w="108" w:type="dxa"/>
            <w:bottom w:w="0" w:type="dxa"/>
            <w:right w:w="108" w:type="dxa"/>
          </w:tblCellMar>
        </w:tblPrEx>
        <w:trPr>
          <w:trHeight w:val="727" w:hRule="exac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C468">
            <w:pPr>
              <w:jc w:val="center"/>
              <w:rPr>
                <w:rFonts w:ascii="仿宋_GB2312" w:hAnsi="仿宋_GB2312" w:cs="仿宋_GB2312"/>
                <w:color w:val="000000"/>
                <w:sz w:val="21"/>
                <w:szCs w:val="21"/>
                <w:highlight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FA44">
            <w:pPr>
              <w:widowControl/>
              <w:jc w:val="center"/>
              <w:textAlignment w:val="center"/>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经济效益指标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F318">
            <w:pPr>
              <w:widowControl/>
              <w:jc w:val="center"/>
              <w:textAlignment w:val="center"/>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带动脱贫户、监测对象劳动力稳定增收效果</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7753">
            <w:pPr>
              <w:widowControl/>
              <w:jc w:val="center"/>
              <w:textAlignment w:val="center"/>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好</w:t>
            </w:r>
          </w:p>
        </w:tc>
      </w:tr>
      <w:tr w14:paraId="078401A0">
        <w:tblPrEx>
          <w:tblCellMar>
            <w:top w:w="0" w:type="dxa"/>
            <w:left w:w="108" w:type="dxa"/>
            <w:bottom w:w="0" w:type="dxa"/>
            <w:right w:w="108" w:type="dxa"/>
          </w:tblCellMar>
        </w:tblPrEx>
        <w:trPr>
          <w:trHeight w:val="567" w:hRule="exac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5DE0">
            <w:pPr>
              <w:jc w:val="center"/>
              <w:rPr>
                <w:rFonts w:ascii="仿宋_GB2312" w:hAnsi="仿宋_GB2312" w:cs="仿宋_GB2312"/>
                <w:color w:val="000000"/>
                <w:sz w:val="21"/>
                <w:szCs w:val="21"/>
                <w:highlight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46B">
            <w:pPr>
              <w:widowControl/>
              <w:jc w:val="center"/>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bidi="ar"/>
              </w:rPr>
              <w:t>满意度指标</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112">
            <w:pPr>
              <w:widowControl/>
              <w:jc w:val="center"/>
              <w:textAlignment w:val="center"/>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服务对象满意度指标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11E3">
            <w:pPr>
              <w:widowControl/>
              <w:jc w:val="center"/>
              <w:textAlignment w:val="center"/>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color w:val="000000"/>
                <w:kern w:val="0"/>
                <w:sz w:val="21"/>
                <w:szCs w:val="21"/>
                <w:highlight w:val="none"/>
                <w:lang w:val="en-US" w:eastAsia="zh-CN" w:bidi="ar"/>
              </w:rPr>
              <w:t>≥95%</w:t>
            </w:r>
          </w:p>
        </w:tc>
      </w:tr>
    </w:tbl>
    <w:p w14:paraId="4112CFBF">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宋体" w:hAnsi="宋体"/>
          <w:sz w:val="32"/>
          <w:szCs w:val="32"/>
        </w:rPr>
      </w:pPr>
      <w:bookmarkStart w:id="45" w:name="_Toc9797"/>
      <w:r>
        <w:rPr>
          <w:rFonts w:hint="eastAsia" w:ascii="宋体" w:hAnsi="宋体"/>
          <w:sz w:val="32"/>
          <w:szCs w:val="32"/>
        </w:rPr>
        <w:t>二、评价工作开展情况</w:t>
      </w:r>
      <w:bookmarkEnd w:id="45"/>
    </w:p>
    <w:p w14:paraId="641D4C90">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46" w:name="_Toc8018"/>
      <w:r>
        <w:rPr>
          <w:rFonts w:hint="eastAsia" w:ascii="楷体_GB2312" w:hAnsi="楷体_GB2312" w:eastAsia="楷体_GB2312" w:cs="楷体_GB2312"/>
          <w:b/>
          <w:lang w:val="en-US" w:eastAsia="zh-CN"/>
        </w:rPr>
        <w:t>（一）评价目的</w:t>
      </w:r>
      <w:bookmarkEnd w:id="46"/>
    </w:p>
    <w:p w14:paraId="39BB28D2">
      <w:pPr>
        <w:snapToGrid w:val="0"/>
        <w:spacing w:line="600" w:lineRule="exact"/>
        <w:ind w:firstLine="640" w:firstLineChars="200"/>
        <w:rPr>
          <w:rFonts w:ascii="仿宋_GB2312" w:hAnsi="仿宋_GB2312" w:cs="仿宋_GB2312"/>
        </w:rPr>
      </w:pPr>
      <w:r>
        <w:rPr>
          <w:rFonts w:hint="eastAsia" w:ascii="仿宋_GB2312" w:hAnsi="仿宋_GB2312" w:cs="仿宋_GB2312"/>
        </w:rPr>
        <w:t>本次评价依据设定的绩效评价操作规程，运用科学、合理的绩效评价方法，设置、选择合适的评价指标，反映项目在立项决策、过程管理方面的经验和不足，对财政预算资金的产出和效果进行客观、公正的评价，综合评价该项目绩效目标的实现程度以及项目实施的经济性、效率性、效益性。</w:t>
      </w:r>
    </w:p>
    <w:p w14:paraId="37C746E2">
      <w:pPr>
        <w:snapToGrid w:val="0"/>
        <w:spacing w:line="600" w:lineRule="exact"/>
        <w:ind w:firstLine="640" w:firstLineChars="200"/>
        <w:rPr>
          <w:rFonts w:ascii="仿宋_GB2312" w:hAnsi="仿宋_GB2312" w:cs="仿宋_GB2312"/>
        </w:rPr>
      </w:pPr>
      <w:r>
        <w:rPr>
          <w:rFonts w:hint="eastAsia" w:ascii="仿宋_GB2312" w:hAnsi="仿宋_GB2312" w:cs="仿宋_GB2312"/>
        </w:rPr>
        <w:t>通过综合性绩效考察，对该项目在决策、过程、产出和效益方面存在的不足提出整改建议，进一步增强预算单位绩效意识，优化财政资金配置，切实提高项目资金管理水平和使用效益。</w:t>
      </w:r>
    </w:p>
    <w:p w14:paraId="38DB1D00">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47" w:name="_Toc10042"/>
      <w:r>
        <w:rPr>
          <w:rFonts w:hint="eastAsia" w:ascii="楷体_GB2312" w:hAnsi="楷体_GB2312" w:eastAsia="楷体_GB2312" w:cs="楷体_GB2312"/>
          <w:b/>
          <w:lang w:val="en-US" w:eastAsia="zh-CN"/>
        </w:rPr>
        <w:t>（二）评价对象及范围</w:t>
      </w:r>
      <w:bookmarkEnd w:id="47"/>
    </w:p>
    <w:p w14:paraId="4DC2FABD">
      <w:pPr>
        <w:snapToGrid w:val="0"/>
        <w:spacing w:line="600" w:lineRule="exact"/>
        <w:ind w:firstLine="640" w:firstLineChars="200"/>
        <w:rPr>
          <w:rFonts w:ascii="仿宋_GB2312" w:hAnsi="仿宋_GB2312" w:cs="仿宋_GB2312"/>
        </w:rPr>
      </w:pPr>
      <w:r>
        <w:rPr>
          <w:rFonts w:hint="eastAsia" w:ascii="仿宋_GB2312" w:hAnsi="仿宋_GB2312" w:cs="仿宋_GB2312"/>
        </w:rPr>
        <w:t>本次绩效评价对象为</w:t>
      </w:r>
      <w:r>
        <w:rPr>
          <w:rFonts w:hint="eastAsia" w:ascii="Times New Roman" w:hAnsi="Times New Roman" w:cs="Times New Roman"/>
          <w:szCs w:val="32"/>
          <w:lang w:val="en-US" w:eastAsia="zh-CN"/>
        </w:rPr>
        <w:t>202</w:t>
      </w:r>
      <w:r>
        <w:rPr>
          <w:rFonts w:hint="eastAsia" w:cs="Times New Roman"/>
          <w:szCs w:val="32"/>
          <w:lang w:val="en-US" w:eastAsia="zh-CN"/>
        </w:rPr>
        <w:t>5</w:t>
      </w:r>
      <w:r>
        <w:rPr>
          <w:rFonts w:hint="eastAsia" w:ascii="仿宋_GB2312" w:hAnsi="仿宋_GB2312" w:cs="仿宋_GB2312"/>
          <w:lang w:val="en-US" w:eastAsia="zh-CN"/>
        </w:rPr>
        <w:t>年乡村振兴衔接资金-开发式公岗</w:t>
      </w:r>
      <w:r>
        <w:rPr>
          <w:rFonts w:hint="eastAsia" w:cs="Times New Roman"/>
          <w:szCs w:val="32"/>
          <w:lang w:val="en-US" w:eastAsia="zh-CN"/>
        </w:rPr>
        <w:t>（第一批）</w:t>
      </w:r>
      <w:r>
        <w:rPr>
          <w:rFonts w:hint="eastAsia" w:ascii="仿宋_GB2312" w:hAnsi="仿宋_GB2312" w:cs="仿宋_GB2312"/>
          <w:lang w:val="en-US" w:eastAsia="zh-CN"/>
        </w:rPr>
        <w:t>项目</w:t>
      </w:r>
      <w:r>
        <w:rPr>
          <w:rFonts w:hint="eastAsia" w:ascii="仿宋_GB2312" w:hAnsi="仿宋_GB2312" w:cs="仿宋_GB2312"/>
        </w:rPr>
        <w:t>，涉及资金</w:t>
      </w:r>
      <w:r>
        <w:rPr>
          <w:rFonts w:hint="eastAsia" w:cs="Times New Roman"/>
          <w:szCs w:val="32"/>
          <w:lang w:val="en-US" w:eastAsia="zh-CN"/>
        </w:rPr>
        <w:t>425</w:t>
      </w:r>
      <w:r>
        <w:rPr>
          <w:rFonts w:hint="eastAsia" w:ascii="仿宋_GB2312" w:hAnsi="仿宋_GB2312" w:cs="仿宋_GB2312"/>
        </w:rPr>
        <w:t>万元。评价范围为：</w:t>
      </w:r>
    </w:p>
    <w:p w14:paraId="02F24185">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1.项目决策及绩效目标的设定情况，包含总体目标及产出目标；</w:t>
      </w:r>
    </w:p>
    <w:p w14:paraId="5C57C984">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2.项目实施单位对项目的组织、实施和管理情况；</w:t>
      </w:r>
    </w:p>
    <w:p w14:paraId="057138D8">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3.项目资金投入和使用情况；</w:t>
      </w:r>
    </w:p>
    <w:p w14:paraId="4C37D659">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4.相关管理制度办法的健全性和执行情况；</w:t>
      </w:r>
    </w:p>
    <w:p w14:paraId="3A21848D">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5.项目资金绩效目标的实现程度及效果；</w:t>
      </w:r>
    </w:p>
    <w:p w14:paraId="7DA54B6F">
      <w:pPr>
        <w:snapToGrid w:val="0"/>
        <w:spacing w:line="600" w:lineRule="exact"/>
        <w:ind w:firstLine="640" w:firstLineChars="200"/>
        <w:rPr>
          <w:rFonts w:ascii="仿宋_GB2312" w:hAnsi="仿宋_GB2312" w:cs="仿宋_GB2312"/>
        </w:rPr>
      </w:pPr>
      <w:r>
        <w:rPr>
          <w:rFonts w:hint="default" w:ascii="Times New Roman" w:hAnsi="Times New Roman" w:cs="Times New Roman"/>
        </w:rPr>
        <w:t>6.</w:t>
      </w:r>
      <w:r>
        <w:rPr>
          <w:rFonts w:hint="eastAsia" w:ascii="仿宋_GB2312" w:hAnsi="仿宋_GB2312" w:cs="仿宋_GB2312"/>
        </w:rPr>
        <w:t>其他相关内容。</w:t>
      </w:r>
    </w:p>
    <w:p w14:paraId="0A740D78">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48" w:name="_Toc28235"/>
      <w:r>
        <w:rPr>
          <w:rFonts w:hint="eastAsia" w:ascii="楷体_GB2312" w:hAnsi="楷体_GB2312" w:eastAsia="楷体_GB2312" w:cs="楷体_GB2312"/>
          <w:b/>
          <w:lang w:val="en-US" w:eastAsia="zh-CN"/>
        </w:rPr>
        <w:t>（三）绩效评价原则</w:t>
      </w:r>
      <w:bookmarkEnd w:id="48"/>
    </w:p>
    <w:p w14:paraId="46DD41ED">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科学规范原则。按照科学可行的原则，采取定量与定性相结合的评价方式，制定合理、可行的绩效评价指标体系，并组织实施绩效评价。</w:t>
      </w:r>
    </w:p>
    <w:p w14:paraId="68B444B6">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结果导向原则。绩效评价指标体系设计、标准设定、方法选用以及具体实施，都以绩效目标的实现程度为准则。</w:t>
      </w:r>
    </w:p>
    <w:p w14:paraId="5EA5392D">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独立公平原则。评价机构作为独立第三方，以真实、客观、公正的要求完成此次绩效评价工作，并接受相关部门的监督。</w:t>
      </w:r>
    </w:p>
    <w:p w14:paraId="2F45DFDA">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绩效相关原则。本次绩效评价工作紧扣“绩效”，评价结果反映支出与产出绩效之间的紧密对应关系，在以评“绩效”为主的情况下，同时适当延伸项目决策和项目管理。</w:t>
      </w:r>
    </w:p>
    <w:p w14:paraId="1A76CDBA">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简便有效原则。本次绩效评价工作尽量简化工作程序，通过科学合理的工作方式与方法，在全面分析绩效材料、与委托单位和项目单位充分沟通的基础上，分析、评价财政资金支出绩效。在科学评价的同时，尽量不给被评价单位正常工作造成干扰，不增加工作负担，着力保障绩效评价工作本身的“绩效”。</w:t>
      </w:r>
    </w:p>
    <w:p w14:paraId="65F2CB98">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49" w:name="_Toc5358"/>
      <w:r>
        <w:rPr>
          <w:rFonts w:hint="eastAsia" w:ascii="楷体_GB2312" w:hAnsi="楷体_GB2312" w:eastAsia="楷体_GB2312" w:cs="楷体_GB2312"/>
          <w:b/>
          <w:lang w:val="en-US" w:eastAsia="zh-CN"/>
        </w:rPr>
        <w:t>（四）评价依据</w:t>
      </w:r>
      <w:bookmarkEnd w:id="49"/>
    </w:p>
    <w:p w14:paraId="5ECE5368">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1.中共中央 国务院印发《关于全面实施预算绩效管理的意见》(中发〔2018〕34号）；</w:t>
      </w:r>
    </w:p>
    <w:p w14:paraId="56FCE928">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2.中共四川省委 四川省人民政府印发《关于全面实施预算绩效管理的实施意见》(川委发〔2019〕8号）；</w:t>
      </w:r>
    </w:p>
    <w:p w14:paraId="26879605">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3.财政厅会同省纪委监委 省委组织部 审计厅共同制发《全省预算绩效管理工作推进方案》(川财〔2019〕68号)；</w:t>
      </w:r>
    </w:p>
    <w:p w14:paraId="6D4F9BB8">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4.财政厅制发《四川省财政厅预算绩效管理工作实施方案》(川财办〔2019〕27号）；</w:t>
      </w:r>
    </w:p>
    <w:p w14:paraId="50EEBF77">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5.《四川省省级财政预算绩效结果与预算安排挂钩实施细则(试行）》(川财办〔2020〕53号）；</w:t>
      </w:r>
    </w:p>
    <w:p w14:paraId="552554FD">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6.中共四川省委办公厅 四川省人民政府办公厅印发 《关于深入实施预算绩效管理的通知》(川委厅〔2020〕5号）；</w:t>
      </w:r>
    </w:p>
    <w:p w14:paraId="6F12377E">
      <w:pPr>
        <w:snapToGrid w:val="0"/>
        <w:spacing w:line="600" w:lineRule="exact"/>
        <w:ind w:firstLine="640" w:firstLineChars="200"/>
        <w:rPr>
          <w:rFonts w:ascii="仿宋_GB2312" w:hAnsi="仿宋_GB2312" w:cs="仿宋_GB2312"/>
        </w:rPr>
      </w:pPr>
      <w:r>
        <w:rPr>
          <w:rFonts w:hint="default" w:ascii="Times New Roman" w:hAnsi="Times New Roman" w:cs="Times New Roman"/>
        </w:rPr>
        <w:t>7.</w:t>
      </w:r>
      <w:r>
        <w:rPr>
          <w:rFonts w:hint="eastAsia" w:ascii="仿宋_GB2312" w:hAnsi="仿宋_GB2312" w:cs="仿宋_GB2312"/>
        </w:rPr>
        <w:t>其他法律法规。</w:t>
      </w:r>
    </w:p>
    <w:p w14:paraId="233E8882">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50" w:name="_Toc9456"/>
      <w:r>
        <w:rPr>
          <w:rFonts w:hint="eastAsia" w:ascii="楷体_GB2312" w:hAnsi="楷体_GB2312" w:eastAsia="楷体_GB2312" w:cs="楷体_GB2312"/>
          <w:b/>
          <w:lang w:val="en-US" w:eastAsia="zh-CN"/>
        </w:rPr>
        <w:t>（五）绩效评价工作程序及方法</w:t>
      </w:r>
      <w:bookmarkEnd w:id="50"/>
    </w:p>
    <w:p w14:paraId="222E7016">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1.绩效评价工作程序</w:t>
      </w:r>
    </w:p>
    <w:p w14:paraId="69D7B687">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本次绩效评价工作程序包括以下三个阶段：前期准备阶段、实施评价阶段、报告撰写阶段。各阶段具体进度安排如下：</w:t>
      </w:r>
    </w:p>
    <w:p w14:paraId="6BD11CAA">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（1）评价准备阶段</w:t>
      </w:r>
    </w:p>
    <w:p w14:paraId="6D87F529">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①成立绩效评价工作组</w:t>
      </w:r>
    </w:p>
    <w:p w14:paraId="4987885A">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成立由相关行业的专家和熟悉行业特点的工作成员组成的工作组，明确人员分工及工作职责。</w:t>
      </w:r>
    </w:p>
    <w:p w14:paraId="1CABCACE">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②现场预调研，了解项目基本情况</w:t>
      </w:r>
    </w:p>
    <w:p w14:paraId="03F450BE">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评价工作组前往项目主管单位进行现场预调研，根据调研提纲内容，了解基本情况，搜集基本资料，包括项目背景、管理制度、资金管理、项目管理、绩效管理情况等。</w:t>
      </w:r>
    </w:p>
    <w:p w14:paraId="0C131B05">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③制定详细的工作方案</w:t>
      </w:r>
    </w:p>
    <w:p w14:paraId="317706CE">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在调研了解项目基本情况的基础上，按照有关规定拟订详细的工作方案，并报委托方审核。实施方案包括人员配置及人员分工、工作进度及时间安排、评价依据、评价工作程序、评价方法、评价指标体系、实施步骤、评价质量控制措施及工作纪律等内容。同时，制定现场调研期间需要收集资料的相关工作底稿，如访谈提纲、资金收集信息表、现场调研资料清单等资料。</w:t>
      </w:r>
    </w:p>
    <w:p w14:paraId="1FCC379E">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 xml:space="preserve">（2）实施评价阶段 </w:t>
      </w:r>
    </w:p>
    <w:p w14:paraId="0E3ECA64">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①现场调研</w:t>
      </w:r>
    </w:p>
    <w:p w14:paraId="4CC934B5">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评价方案确定后，组织评价小组主要成员参与现场调研，并在开展调研过程中修改评价方案中存在的不足。</w:t>
      </w:r>
    </w:p>
    <w:p w14:paraId="10D8C65C">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②细化评价指标体系</w:t>
      </w:r>
    </w:p>
    <w:p w14:paraId="14F076DE">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结合现场调研过程中主管单位、项目单位提交的相关资料和信息，全面了解项目执行情况，对评价指标体系的合理性、可行性进一步完善并细化评价指标体系。在收到评价主体单位反馈意见后，抓紧与其积极协商，并确定最终的绩效评价指标体系。</w:t>
      </w:r>
    </w:p>
    <w:p w14:paraId="3E69B388">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③现场绩效评价</w:t>
      </w:r>
    </w:p>
    <w:p w14:paraId="18948B89">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评价工作组进行现场调研，现场了解所涉及项目的总体情况和重点内容的具体情况，包括项目的组织落实情况、资金使用情况等，形成现场工作记录。同时，完成现场问卷调查回访工作。形成的工作底稿包括：调研计划安排、资料清单、调研访谈提纲、调查问卷、工作记录等，详见绩效评价工作方案的附件。</w:t>
      </w:r>
    </w:p>
    <w:p w14:paraId="352A7756">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④对项目资料汇总分析</w:t>
      </w:r>
    </w:p>
    <w:p w14:paraId="013D1D07">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对收集的数据、文件、问卷资料进行核实和全面分析，对缺失的资料要求被评价单位及时补充，对重要的和存在疑问的基础数据资料进行核实确认，并以资料、访谈结果和调查问卷结果作为现场评价打分的依据。</w:t>
      </w:r>
    </w:p>
    <w:p w14:paraId="741D0F3A">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（3）形成报告阶段</w:t>
      </w:r>
    </w:p>
    <w:p w14:paraId="1AB885AE">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①整理、分析并复核项目资料</w:t>
      </w:r>
    </w:p>
    <w:p w14:paraId="6C560886">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评价工作组对已有项目资料进行全面研读、整理、分析，并对绩效自评报告、调研所收集的资料、要求填写的数据信息表、调查问卷反馈的信息进行对比分析、复核，保证资料完整、真实，同时作为撰写绩效报告的支撑材料。</w:t>
      </w:r>
    </w:p>
    <w:p w14:paraId="240FD716">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②沟通初步评价意见并撰写评价报告初稿</w:t>
      </w:r>
    </w:p>
    <w:p w14:paraId="3FC469B0">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在前期调研基础上，形成初步评价结果，包括：重点项目调研情况、问卷调查分析、各成员单位评价意见等。绩效评价报告初稿完成后，就报告中所反映的问题与项目单位、有关承担单位进行书面沟通，并要求相关单位及时反馈，同时将评价报告提交至委托方，就文本规范性征求意见。</w:t>
      </w:r>
    </w:p>
    <w:p w14:paraId="2770B60B">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③报告定稿</w:t>
      </w:r>
    </w:p>
    <w:p w14:paraId="70551F34">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根据委托方意见修改报告，形成终稿，在规定时间内正式向委托方报送绩效评价报告。</w:t>
      </w:r>
    </w:p>
    <w:p w14:paraId="7609344A">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④归集档案</w:t>
      </w:r>
    </w:p>
    <w:p w14:paraId="547D079D">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2.绩效评价工作方法</w:t>
      </w:r>
    </w:p>
    <w:p w14:paraId="338F6670">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采用全面评价和重点评价相结合、现场评价和非现场评价相结合、定性和定量相结合的方式，并采取座谈询问、实地勘察、效益分析、调查问卷等多种方法开展评价。</w:t>
      </w:r>
    </w:p>
    <w:p w14:paraId="5D6E65C2">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（1）座谈/访谈法。评价组与实施单位工作人员进行面对面访谈，全面了解项目执行与实施管理情况。</w:t>
      </w:r>
    </w:p>
    <w:p w14:paraId="0088B22A">
      <w:pPr>
        <w:snapToGrid w:val="0"/>
        <w:spacing w:line="600" w:lineRule="exact"/>
        <w:ind w:firstLine="640" w:firstLineChars="200"/>
        <w:rPr>
          <w:rFonts w:ascii="仿宋_GB2312" w:hAnsi="仿宋_GB2312" w:cs="仿宋_GB2312"/>
        </w:rPr>
      </w:pPr>
      <w:r>
        <w:rPr>
          <w:rFonts w:hint="default" w:ascii="Times New Roman" w:hAnsi="Times New Roman" w:cs="Times New Roman"/>
        </w:rPr>
        <w:t>（2）效益分析法。专项资金投入跟产出是否匹配，是否经济合理，专项资金投入后取得了哪些实实在在的成果，对应的资金投入是否有偏差，重复投入或无效投入的情况是否存在。</w:t>
      </w:r>
    </w:p>
    <w:p w14:paraId="5DAF3B65">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（3）现场核查法。通过对所选取点位进行现场核查，对资料的真实性、基础信息表数据真实性等进一步核查，修正基础信息表数据，发现绩效亮点和典型问题。</w:t>
      </w:r>
    </w:p>
    <w:p w14:paraId="7A13D4D3">
      <w:pPr>
        <w:snapToGrid w:val="0"/>
        <w:spacing w:line="600" w:lineRule="exact"/>
        <w:ind w:firstLine="640" w:firstLineChars="200"/>
        <w:rPr>
          <w:rFonts w:ascii="仿宋_GB2312" w:hAnsi="仿宋_GB2312" w:cs="仿宋_GB2312"/>
        </w:rPr>
      </w:pPr>
      <w:r>
        <w:rPr>
          <w:rFonts w:hint="default" w:ascii="Times New Roman" w:hAnsi="Times New Roman" w:cs="Times New Roman"/>
        </w:rPr>
        <w:t>（4）问卷调查法（公众评判法）。根据项目情况设计有针对性的调查问卷，对受益对象开展问卷调查，发现项目实施和管理过程中存在的问题、效益情况以及满意度等。</w:t>
      </w:r>
    </w:p>
    <w:p w14:paraId="7DB27263">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51" w:name="_Toc17113"/>
      <w:r>
        <w:rPr>
          <w:rFonts w:hint="eastAsia" w:ascii="楷体_GB2312" w:hAnsi="楷体_GB2312" w:eastAsia="楷体_GB2312" w:cs="楷体_GB2312"/>
          <w:b/>
          <w:lang w:val="en-US" w:eastAsia="zh-CN"/>
        </w:rPr>
        <w:t>（六）指标体系设计</w:t>
      </w:r>
      <w:bookmarkEnd w:id="51"/>
    </w:p>
    <w:p w14:paraId="3BEB2720">
      <w:pPr>
        <w:snapToGrid w:val="0"/>
        <w:spacing w:line="600" w:lineRule="exact"/>
        <w:ind w:firstLine="640" w:firstLineChars="200"/>
        <w:rPr>
          <w:rFonts w:hint="default" w:ascii="Times New Roman" w:hAnsi="Times New Roman" w:cs="Times New Roman"/>
        </w:rPr>
      </w:pPr>
      <w:r>
        <w:rPr>
          <w:rFonts w:hint="eastAsia" w:ascii="仿宋_GB2312" w:hAnsi="仿宋_GB2312" w:cs="仿宋_GB2312"/>
        </w:rPr>
        <w:t>根据</w:t>
      </w:r>
      <w:r>
        <w:rPr>
          <w:rFonts w:hint="eastAsia"/>
          <w:szCs w:val="32"/>
        </w:rPr>
        <w:t>《岳池县财政局</w:t>
      </w:r>
      <w:r>
        <w:rPr>
          <w:rFonts w:hint="eastAsia" w:ascii="Times New Roman" w:hAnsi="Times New Roman" w:cs="Times New Roman"/>
          <w:szCs w:val="32"/>
        </w:rPr>
        <w:t>关于开展2</w:t>
      </w:r>
      <w:r>
        <w:rPr>
          <w:rFonts w:hint="default" w:ascii="Times New Roman" w:hAnsi="Times New Roman" w:cs="Times New Roman"/>
          <w:szCs w:val="32"/>
        </w:rPr>
        <w:t>025</w:t>
      </w:r>
      <w:r>
        <w:rPr>
          <w:rFonts w:hint="eastAsia" w:ascii="Times New Roman" w:hAnsi="Times New Roman" w:cs="Times New Roman"/>
          <w:szCs w:val="32"/>
        </w:rPr>
        <w:t>年县级部门、项目支出重点绩效评价</w:t>
      </w:r>
      <w:r>
        <w:rPr>
          <w:rFonts w:hint="eastAsia" w:ascii="Times New Roman" w:hAnsi="Times New Roman" w:cs="Times New Roman"/>
          <w:szCs w:val="32"/>
          <w:lang w:eastAsia="zh-CN"/>
        </w:rPr>
        <w:t>和</w:t>
      </w:r>
      <w:r>
        <w:rPr>
          <w:rFonts w:hint="eastAsia" w:ascii="Times New Roman" w:hAnsi="Times New Roman" w:cs="Times New Roman"/>
          <w:szCs w:val="32"/>
          <w:lang w:val="en-US" w:eastAsia="zh-CN"/>
        </w:rPr>
        <w:t>2026年事前绩效评估</w:t>
      </w:r>
      <w:r>
        <w:rPr>
          <w:rFonts w:hint="eastAsia" w:ascii="Times New Roman" w:hAnsi="Times New Roman" w:cs="Times New Roman"/>
          <w:szCs w:val="32"/>
        </w:rPr>
        <w:t>工作的通知</w:t>
      </w:r>
      <w:r>
        <w:rPr>
          <w:rFonts w:hint="eastAsia"/>
          <w:szCs w:val="32"/>
        </w:rPr>
        <w:t>》（岳财发〔202</w:t>
      </w:r>
      <w:r>
        <w:rPr>
          <w:rFonts w:hint="eastAsia"/>
          <w:szCs w:val="32"/>
          <w:lang w:val="en-US" w:eastAsia="zh-CN"/>
        </w:rPr>
        <w:t>5</w:t>
      </w:r>
      <w:r>
        <w:rPr>
          <w:rFonts w:hint="eastAsia"/>
          <w:szCs w:val="32"/>
        </w:rPr>
        <w:t>〕5</w:t>
      </w:r>
      <w:r>
        <w:rPr>
          <w:rFonts w:hint="eastAsia"/>
          <w:szCs w:val="32"/>
          <w:lang w:val="en-US" w:eastAsia="zh-CN"/>
        </w:rPr>
        <w:t>6</w:t>
      </w:r>
      <w:r>
        <w:rPr>
          <w:rFonts w:hint="eastAsia"/>
          <w:szCs w:val="32"/>
        </w:rPr>
        <w:t>号）</w:t>
      </w:r>
      <w:r>
        <w:rPr>
          <w:rFonts w:hint="eastAsia" w:ascii="仿宋_GB2312" w:hAnsi="仿宋_GB2312" w:cs="仿宋_GB2312"/>
        </w:rPr>
        <w:t>的指标体系框架，结合部门特点，在与</w:t>
      </w:r>
      <w:r>
        <w:rPr>
          <w:rFonts w:hint="default" w:ascii="Times New Roman" w:hAnsi="Times New Roman" w:cs="Times New Roman"/>
        </w:rPr>
        <w:t>专家组、项目单位充分协商的基础上，完善了绩效评价指标体系，评价指标体系总分值为100分，其中：项目决策</w:t>
      </w:r>
      <w:r>
        <w:rPr>
          <w:rFonts w:hint="default" w:ascii="Times New Roman" w:hAnsi="Times New Roman" w:cs="Times New Roman"/>
          <w:lang w:val="en-US" w:eastAsia="zh-CN"/>
        </w:rPr>
        <w:t>18</w:t>
      </w:r>
      <w:r>
        <w:rPr>
          <w:rFonts w:hint="default" w:ascii="Times New Roman" w:hAnsi="Times New Roman" w:cs="Times New Roman"/>
        </w:rPr>
        <w:t>分，项目</w:t>
      </w:r>
      <w:r>
        <w:rPr>
          <w:rFonts w:hint="default" w:ascii="Times New Roman" w:hAnsi="Times New Roman" w:cs="Times New Roman"/>
          <w:lang w:val="en-US" w:eastAsia="zh-CN"/>
        </w:rPr>
        <w:t>管理18</w:t>
      </w:r>
      <w:r>
        <w:rPr>
          <w:rFonts w:hint="default" w:ascii="Times New Roman" w:hAnsi="Times New Roman" w:cs="Times New Roman"/>
        </w:rPr>
        <w:t>分，</w:t>
      </w:r>
      <w:r>
        <w:rPr>
          <w:rFonts w:hint="default" w:ascii="Times New Roman" w:hAnsi="Times New Roman" w:cs="Times New Roman"/>
          <w:lang w:val="en-US" w:eastAsia="zh-CN"/>
        </w:rPr>
        <w:t>项目实施9分，项目</w:t>
      </w:r>
      <w:r>
        <w:rPr>
          <w:rFonts w:hint="default" w:ascii="Times New Roman" w:hAnsi="Times New Roman" w:cs="Times New Roman"/>
        </w:rPr>
        <w:t>结果</w:t>
      </w:r>
      <w:r>
        <w:rPr>
          <w:rFonts w:hint="default" w:ascii="Times New Roman" w:hAnsi="Times New Roman" w:cs="Times New Roman"/>
          <w:lang w:val="en-US" w:eastAsia="zh-CN"/>
        </w:rPr>
        <w:t>9</w:t>
      </w:r>
      <w:r>
        <w:rPr>
          <w:rFonts w:hint="default" w:ascii="Times New Roman" w:hAnsi="Times New Roman" w:cs="Times New Roman"/>
        </w:rPr>
        <w:t>分，</w:t>
      </w:r>
      <w:r>
        <w:rPr>
          <w:rFonts w:hint="default" w:ascii="Times New Roman" w:hAnsi="Times New Roman" w:cs="Times New Roman"/>
          <w:lang w:val="en-US" w:eastAsia="zh-CN"/>
        </w:rPr>
        <w:t>专用指标30</w:t>
      </w:r>
      <w:r>
        <w:rPr>
          <w:rFonts w:hint="default" w:ascii="Times New Roman" w:hAnsi="Times New Roman" w:cs="Times New Roman"/>
        </w:rPr>
        <w:t>分，个性指标1</w:t>
      </w:r>
      <w:r>
        <w:rPr>
          <w:rFonts w:hint="default" w:ascii="Times New Roman" w:hAnsi="Times New Roman" w:cs="Times New Roman"/>
          <w:lang w:val="en-US" w:eastAsia="zh-CN"/>
        </w:rPr>
        <w:t>6</w:t>
      </w:r>
      <w:r>
        <w:rPr>
          <w:rFonts w:hint="default" w:ascii="Times New Roman" w:hAnsi="Times New Roman" w:cs="Times New Roman"/>
        </w:rPr>
        <w:t>分。绩效评价结果分为4个等级：</w:t>
      </w:r>
    </w:p>
    <w:p w14:paraId="500531C8">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综合得分90（含）-100为优；</w:t>
      </w:r>
    </w:p>
    <w:p w14:paraId="79B1CC3E">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综合得分80（含）-90为良；</w:t>
      </w:r>
    </w:p>
    <w:p w14:paraId="44ACB216">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综合得分60（含）-80为中；</w:t>
      </w:r>
    </w:p>
    <w:p w14:paraId="32942E1C">
      <w:pPr>
        <w:snapToGrid w:val="0"/>
        <w:spacing w:line="600" w:lineRule="exact"/>
        <w:ind w:firstLine="640" w:firstLineChars="200"/>
        <w:rPr>
          <w:rFonts w:hint="default" w:ascii="Times New Roman" w:hAnsi="Times New Roman" w:cs="Times New Roman"/>
        </w:rPr>
      </w:pPr>
      <w:r>
        <w:rPr>
          <w:rFonts w:hint="default" w:ascii="Times New Roman" w:hAnsi="Times New Roman" w:cs="Times New Roman"/>
        </w:rPr>
        <w:t>综合得分60分以下为差。</w:t>
      </w:r>
    </w:p>
    <w:p w14:paraId="7E75BE99">
      <w:pPr>
        <w:snapToGrid w:val="0"/>
        <w:spacing w:line="600" w:lineRule="exact"/>
        <w:ind w:firstLine="640" w:firstLineChars="200"/>
        <w:rPr>
          <w:rFonts w:ascii="仿宋_GB2312" w:hAnsi="仿宋_GB2312" w:cs="仿宋_GB2312"/>
        </w:rPr>
      </w:pPr>
      <w:r>
        <w:rPr>
          <w:rFonts w:hint="eastAsia" w:ascii="仿宋_GB2312" w:hAnsi="仿宋_GB2312" w:cs="仿宋_GB2312"/>
        </w:rPr>
        <w:t>根据《专项预算项目绩效评价指标体系》及绩效评价工作相关管理办法，结合专项资金属性及资金使用的具体情况，在县级财政支出项目绩效评价指标表的基础上，对效果性指标的具体指标内容和评分标准进行了选设和调整，形成了</w:t>
      </w:r>
      <w:r>
        <w:rPr>
          <w:rFonts w:hint="eastAsia" w:ascii="Times New Roman" w:hAnsi="Times New Roman" w:cs="Times New Roman"/>
          <w:szCs w:val="32"/>
          <w:highlight w:val="none"/>
          <w:lang w:val="en-US" w:eastAsia="zh-CN"/>
        </w:rPr>
        <w:t>2025年乡村</w:t>
      </w:r>
      <w:r>
        <w:rPr>
          <w:rFonts w:hint="eastAsia" w:ascii="仿宋_GB2312" w:hAnsi="仿宋_GB2312" w:cs="仿宋_GB2312"/>
          <w:lang w:val="en-US" w:eastAsia="zh-CN"/>
        </w:rPr>
        <w:t>振兴衔接资金-开发式公岗</w:t>
      </w:r>
      <w:r>
        <w:rPr>
          <w:rFonts w:hint="eastAsia" w:cs="Times New Roman"/>
          <w:szCs w:val="32"/>
          <w:lang w:val="en-US" w:eastAsia="zh-CN"/>
        </w:rPr>
        <w:t>（第一批）</w:t>
      </w:r>
      <w:r>
        <w:rPr>
          <w:rFonts w:hint="eastAsia" w:ascii="仿宋_GB2312" w:hAnsi="仿宋_GB2312" w:cs="仿宋_GB2312"/>
          <w:lang w:val="en-US" w:eastAsia="zh-CN"/>
        </w:rPr>
        <w:t>项目</w:t>
      </w:r>
      <w:r>
        <w:rPr>
          <w:rFonts w:hint="eastAsia" w:ascii="仿宋_GB2312" w:hAnsi="仿宋_GB2312" w:cs="仿宋_GB2312"/>
        </w:rPr>
        <w:t>绩效评价指标体系。详细指标体系见“附表一”。</w:t>
      </w:r>
    </w:p>
    <w:p w14:paraId="4283C09E">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52" w:name="_Toc12863"/>
      <w:r>
        <w:rPr>
          <w:rFonts w:hint="eastAsia" w:ascii="楷体_GB2312" w:hAnsi="楷体_GB2312" w:eastAsia="楷体_GB2312" w:cs="楷体_GB2312"/>
          <w:b/>
          <w:lang w:val="en-US" w:eastAsia="zh-CN"/>
        </w:rPr>
        <w:t>（七）评价人员组织</w:t>
      </w:r>
      <w:bookmarkEnd w:id="52"/>
    </w:p>
    <w:p w14:paraId="755A4254">
      <w:pPr>
        <w:snapToGrid w:val="0"/>
        <w:spacing w:line="600" w:lineRule="exact"/>
        <w:ind w:firstLine="640" w:firstLineChars="200"/>
        <w:rPr>
          <w:rFonts w:ascii="仿宋_GB2312" w:hAnsi="仿宋_GB2312" w:cs="仿宋_GB2312"/>
        </w:rPr>
      </w:pPr>
      <w:r>
        <w:rPr>
          <w:rFonts w:hint="eastAsia" w:ascii="仿宋_GB2312" w:hAnsi="仿宋_GB2312" w:cs="仿宋_GB2312"/>
        </w:rPr>
        <w:t>四川荣达会计师事务所有限责任公司接受</w:t>
      </w:r>
      <w:r>
        <w:rPr>
          <w:rFonts w:hint="eastAsia" w:ascii="仿宋_GB2312" w:hAnsi="仿宋_GB2312" w:cs="仿宋_GB2312"/>
          <w:lang w:val="en-US" w:eastAsia="zh-CN"/>
        </w:rPr>
        <w:t>岳池</w:t>
      </w:r>
      <w:r>
        <w:rPr>
          <w:rFonts w:hint="eastAsia" w:ascii="仿宋_GB2312" w:hAnsi="仿宋_GB2312" w:cs="仿宋_GB2312"/>
        </w:rPr>
        <w:t>县财政局委托，作为第三方绩效评价机构，选派相关专业人员组成绩效评价工作小组，</w:t>
      </w:r>
      <w:r>
        <w:rPr>
          <w:rFonts w:hint="eastAsia" w:ascii="Times New Roman" w:hAnsi="Times New Roman" w:cs="Times New Roman"/>
          <w:szCs w:val="32"/>
          <w:highlight w:val="none"/>
          <w:lang w:val="en-US" w:eastAsia="zh-CN"/>
        </w:rPr>
        <w:t>对2025年乡</w:t>
      </w:r>
      <w:r>
        <w:rPr>
          <w:rFonts w:hint="eastAsia" w:ascii="仿宋_GB2312" w:hAnsi="仿宋_GB2312" w:cs="仿宋_GB2312"/>
          <w:lang w:val="en-US" w:eastAsia="zh-CN"/>
        </w:rPr>
        <w:t>村振兴衔接资金-开发式公岗</w:t>
      </w:r>
      <w:r>
        <w:rPr>
          <w:rFonts w:hint="eastAsia" w:cs="Times New Roman"/>
          <w:szCs w:val="32"/>
          <w:lang w:val="en-US" w:eastAsia="zh-CN"/>
        </w:rPr>
        <w:t>（第一批）</w:t>
      </w:r>
      <w:r>
        <w:rPr>
          <w:rFonts w:hint="eastAsia" w:ascii="仿宋_GB2312" w:hAnsi="仿宋_GB2312" w:cs="仿宋_GB2312"/>
          <w:lang w:val="en-US" w:eastAsia="zh-CN"/>
        </w:rPr>
        <w:t>项目</w:t>
      </w:r>
      <w:r>
        <w:rPr>
          <w:rFonts w:hint="eastAsia" w:ascii="仿宋_GB2312" w:hAnsi="仿宋_GB2312" w:cs="仿宋_GB2312"/>
        </w:rPr>
        <w:t>开展绩效评价的相关评价工作。</w:t>
      </w:r>
    </w:p>
    <w:p w14:paraId="131C6F1D">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53" w:name="_Toc12254"/>
      <w:r>
        <w:rPr>
          <w:rFonts w:hint="eastAsia" w:ascii="楷体_GB2312" w:hAnsi="楷体_GB2312" w:eastAsia="楷体_GB2312" w:cs="楷体_GB2312"/>
          <w:b/>
          <w:lang w:val="en-US" w:eastAsia="zh-CN"/>
        </w:rPr>
        <w:t>（八）主管部门绩效自评工作开展及配合情况</w:t>
      </w:r>
      <w:bookmarkEnd w:id="53"/>
    </w:p>
    <w:p w14:paraId="6C13B667">
      <w:pPr>
        <w:snapToGrid w:val="0"/>
        <w:spacing w:line="600" w:lineRule="exact"/>
        <w:ind w:firstLine="640" w:firstLineChars="200"/>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岳池县农业农村局在2025年开发式公岗</w:t>
      </w:r>
      <w:r>
        <w:rPr>
          <w:rFonts w:hint="eastAsia" w:cs="Times New Roman"/>
          <w:szCs w:val="32"/>
          <w:lang w:val="en-US" w:eastAsia="zh-CN"/>
        </w:rPr>
        <w:t>（第一批）</w:t>
      </w:r>
      <w:r>
        <w:rPr>
          <w:rFonts w:hint="eastAsia" w:ascii="Times New Roman" w:hAnsi="Times New Roman" w:cs="Times New Roman"/>
          <w:szCs w:val="32"/>
          <w:highlight w:val="none"/>
          <w:lang w:val="en-US" w:eastAsia="zh-CN"/>
        </w:rPr>
        <w:t>项目绩效自评工作中，已按要求完成《</w:t>
      </w:r>
      <w:r>
        <w:rPr>
          <w:rFonts w:hint="eastAsia" w:cs="Times New Roman"/>
          <w:szCs w:val="32"/>
          <w:highlight w:val="none"/>
          <w:lang w:val="en-US" w:eastAsia="zh-CN"/>
        </w:rPr>
        <w:t>绩效目标</w:t>
      </w:r>
      <w:r>
        <w:rPr>
          <w:rFonts w:hint="eastAsia" w:ascii="Times New Roman" w:hAnsi="Times New Roman" w:cs="Times New Roman"/>
          <w:szCs w:val="32"/>
          <w:highlight w:val="none"/>
          <w:lang w:val="en-US" w:eastAsia="zh-CN"/>
        </w:rPr>
        <w:t>自评表》的填报</w:t>
      </w:r>
      <w:r>
        <w:rPr>
          <w:rFonts w:hint="eastAsia"/>
          <w:highlight w:val="none"/>
          <w:lang w:val="en-US" w:eastAsia="zh-CN"/>
        </w:rPr>
        <w:t>和自评报告</w:t>
      </w:r>
      <w:r>
        <w:rPr>
          <w:rFonts w:hint="eastAsia" w:cs="Times New Roman"/>
          <w:szCs w:val="32"/>
          <w:highlight w:val="none"/>
          <w:lang w:val="en-US" w:eastAsia="zh-CN"/>
        </w:rPr>
        <w:t>。</w:t>
      </w:r>
    </w:p>
    <w:p w14:paraId="6263053E">
      <w:pPr>
        <w:snapToGrid w:val="0"/>
        <w:spacing w:line="600" w:lineRule="exact"/>
        <w:ind w:firstLine="640" w:firstLineChars="200"/>
        <w:rPr>
          <w:rFonts w:ascii="仿宋_GB2312" w:hAnsi="仿宋_GB2312" w:cs="仿宋_GB2312"/>
        </w:rPr>
      </w:pPr>
      <w:r>
        <w:rPr>
          <w:rFonts w:hint="eastAsia" w:ascii="Times New Roman" w:hAnsi="Times New Roman" w:cs="Times New Roman"/>
          <w:szCs w:val="32"/>
          <w:lang w:val="en-US" w:eastAsia="zh-CN"/>
        </w:rPr>
        <w:t>评价组于202</w:t>
      </w:r>
      <w:r>
        <w:rPr>
          <w:rFonts w:hint="eastAsia" w:cs="Times New Roman"/>
          <w:szCs w:val="32"/>
          <w:lang w:val="en-US" w:eastAsia="zh-CN"/>
        </w:rPr>
        <w:t>5</w:t>
      </w:r>
      <w:r>
        <w:rPr>
          <w:rFonts w:hint="eastAsia" w:ascii="Times New Roman" w:hAnsi="Times New Roman" w:cs="Times New Roman"/>
          <w:szCs w:val="32"/>
          <w:lang w:val="en-US" w:eastAsia="zh-CN"/>
        </w:rPr>
        <w:t>年1</w:t>
      </w:r>
      <w:r>
        <w:rPr>
          <w:rFonts w:hint="eastAsia" w:cs="Times New Roman"/>
          <w:szCs w:val="32"/>
          <w:lang w:val="en-US" w:eastAsia="zh-CN"/>
        </w:rPr>
        <w:t>2</w:t>
      </w:r>
      <w:r>
        <w:rPr>
          <w:rFonts w:hint="eastAsia" w:ascii="Times New Roman" w:hAnsi="Times New Roman" w:cs="Times New Roman"/>
          <w:szCs w:val="32"/>
          <w:lang w:val="en-US" w:eastAsia="zh-CN"/>
        </w:rPr>
        <w:t>月对该项目开展绩效评价工作，部门安排专人对接工作，在评价过程中，为评价组人员答疑解惑，积极提供相关需补充资料。</w:t>
      </w:r>
    </w:p>
    <w:p w14:paraId="0C466D86">
      <w:pPr>
        <w:pStyle w:val="3"/>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eastAsia" w:ascii="楷体_GB2312" w:hAnsi="楷体_GB2312" w:eastAsia="楷体_GB2312" w:cs="楷体_GB2312"/>
          <w:b/>
          <w:lang w:val="en-US" w:eastAsia="zh-CN"/>
        </w:rPr>
      </w:pPr>
      <w:bookmarkStart w:id="54" w:name="_Toc7681"/>
      <w:r>
        <w:rPr>
          <w:rFonts w:hint="eastAsia" w:ascii="楷体_GB2312" w:hAnsi="楷体_GB2312" w:eastAsia="楷体_GB2312" w:cs="楷体_GB2312"/>
          <w:b/>
          <w:lang w:val="en-US" w:eastAsia="zh-CN"/>
        </w:rPr>
        <w:t>（九）基础数据表</w:t>
      </w:r>
      <w:bookmarkEnd w:id="54"/>
    </w:p>
    <w:p w14:paraId="6EBCB366">
      <w:pPr>
        <w:snapToGrid w:val="0"/>
        <w:spacing w:line="600" w:lineRule="exact"/>
        <w:ind w:firstLine="640" w:firstLineChars="200"/>
        <w:rPr>
          <w:rFonts w:hint="eastAsia" w:ascii="仿宋_GB2312" w:hAnsi="仿宋_GB2312" w:cs="仿宋_GB2312"/>
        </w:rPr>
      </w:pPr>
      <w:r>
        <w:rPr>
          <w:rFonts w:hint="eastAsia" w:ascii="仿宋_GB2312" w:hAnsi="仿宋_GB2312" w:cs="仿宋_GB2312"/>
        </w:rPr>
        <w:t>1.项目资金到位</w:t>
      </w:r>
      <w:r>
        <w:rPr>
          <w:rFonts w:hint="eastAsia" w:ascii="仿宋_GB2312" w:hAnsi="仿宋_GB2312" w:cs="仿宋_GB2312"/>
          <w:lang w:val="en-US" w:eastAsia="zh-CN"/>
        </w:rPr>
        <w:t>及</w:t>
      </w:r>
      <w:r>
        <w:rPr>
          <w:rFonts w:hint="eastAsia" w:ascii="仿宋_GB2312" w:hAnsi="仿宋_GB2312" w:cs="仿宋_GB2312"/>
        </w:rPr>
        <w:t>使用情况表</w:t>
      </w:r>
    </w:p>
    <w:p w14:paraId="57326A05">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right"/>
        <w:textAlignment w:val="auto"/>
        <w:rPr>
          <w:rFonts w:ascii="仿宋_GB2312" w:hAnsi="仿宋_GB2312" w:cs="仿宋_GB2312"/>
          <w:sz w:val="24"/>
          <w:szCs w:val="24"/>
        </w:rPr>
      </w:pPr>
      <w:r>
        <w:rPr>
          <w:rFonts w:hint="eastAsia" w:ascii="仿宋_GB2312" w:hAnsi="仿宋_GB2312" w:cs="仿宋_GB2312"/>
          <w:sz w:val="24"/>
          <w:szCs w:val="24"/>
        </w:rPr>
        <w:t>单位：万元</w:t>
      </w:r>
    </w:p>
    <w:tbl>
      <w:tblPr>
        <w:tblStyle w:val="1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652"/>
        <w:gridCol w:w="1959"/>
        <w:gridCol w:w="1764"/>
        <w:gridCol w:w="1748"/>
      </w:tblGrid>
      <w:tr w14:paraId="7266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14:paraId="317F515A">
            <w:pPr>
              <w:widowControl/>
              <w:jc w:val="center"/>
              <w:textAlignment w:val="center"/>
              <w:rPr>
                <w:rFonts w:hint="default" w:ascii="仿宋_GB2312" w:hAnsi="仿宋_GB2312" w:cs="仿宋_GB2312"/>
                <w:b/>
                <w:bCs/>
                <w:color w:val="000000"/>
                <w:kern w:val="0"/>
                <w:sz w:val="24"/>
                <w:szCs w:val="24"/>
                <w:lang w:val="en-US" w:eastAsia="zh-CN" w:bidi="ar"/>
              </w:rPr>
            </w:pPr>
            <w:r>
              <w:rPr>
                <w:rFonts w:hint="eastAsia" w:ascii="仿宋_GB2312" w:hAnsi="仿宋_GB2312" w:cs="仿宋_GB2312"/>
                <w:b/>
                <w:bCs/>
                <w:color w:val="000000"/>
                <w:kern w:val="0"/>
                <w:sz w:val="24"/>
                <w:szCs w:val="24"/>
                <w:lang w:val="en-US" w:eastAsia="zh-CN" w:bidi="ar"/>
              </w:rPr>
              <w:t>序号</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71CED6BB">
            <w:pPr>
              <w:widowControl/>
              <w:jc w:val="center"/>
              <w:textAlignment w:val="center"/>
              <w:rPr>
                <w:rFonts w:hint="default" w:ascii="仿宋_GB2312" w:hAnsi="仿宋_GB2312" w:cs="仿宋_GB2312"/>
                <w:b/>
                <w:bCs/>
                <w:color w:val="000000"/>
                <w:kern w:val="0"/>
                <w:sz w:val="24"/>
                <w:szCs w:val="24"/>
                <w:lang w:val="en-US" w:eastAsia="zh-CN" w:bidi="ar"/>
              </w:rPr>
            </w:pPr>
            <w:r>
              <w:rPr>
                <w:rFonts w:hint="eastAsia" w:ascii="仿宋_GB2312" w:hAnsi="仿宋_GB2312" w:cs="仿宋_GB2312"/>
                <w:b/>
                <w:bCs/>
                <w:color w:val="000000"/>
                <w:kern w:val="0"/>
                <w:sz w:val="24"/>
                <w:szCs w:val="24"/>
                <w:lang w:val="en-US" w:eastAsia="zh-CN" w:bidi="ar"/>
              </w:rPr>
              <w:t>年初预算</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241F7486">
            <w:pPr>
              <w:widowControl/>
              <w:jc w:val="center"/>
              <w:textAlignment w:val="center"/>
              <w:rPr>
                <w:rFonts w:hint="default" w:ascii="仿宋_GB2312" w:hAnsi="仿宋_GB2312" w:eastAsia="仿宋_GB2312" w:cs="仿宋_GB2312"/>
                <w:b/>
                <w:bCs/>
                <w:color w:val="000000"/>
                <w:sz w:val="24"/>
                <w:szCs w:val="24"/>
                <w:lang w:val="en-US" w:eastAsia="zh-CN"/>
              </w:rPr>
            </w:pPr>
            <w:r>
              <w:rPr>
                <w:rFonts w:hint="eastAsia" w:ascii="仿宋_GB2312" w:hAnsi="仿宋_GB2312" w:cs="仿宋_GB2312"/>
                <w:b/>
                <w:bCs/>
                <w:color w:val="000000"/>
                <w:kern w:val="0"/>
                <w:sz w:val="24"/>
                <w:szCs w:val="24"/>
                <w:lang w:val="en-US" w:eastAsia="zh-CN" w:bidi="ar"/>
              </w:rPr>
              <w:t>调整预算</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7F6DA9B5">
            <w:pPr>
              <w:widowControl/>
              <w:jc w:val="center"/>
              <w:textAlignment w:val="center"/>
              <w:rPr>
                <w:rFonts w:hint="default" w:ascii="仿宋_GB2312" w:hAnsi="仿宋_GB2312" w:eastAsia="仿宋_GB2312" w:cs="仿宋_GB2312"/>
                <w:b/>
                <w:bCs/>
                <w:color w:val="000000"/>
                <w:sz w:val="24"/>
                <w:szCs w:val="24"/>
                <w:lang w:val="en-US" w:eastAsia="zh-CN"/>
              </w:rPr>
            </w:pPr>
            <w:r>
              <w:rPr>
                <w:rFonts w:hint="eastAsia" w:ascii="仿宋_GB2312" w:hAnsi="仿宋_GB2312" w:cs="仿宋_GB2312"/>
                <w:b/>
                <w:bCs/>
                <w:color w:val="000000"/>
                <w:kern w:val="0"/>
                <w:sz w:val="24"/>
                <w:szCs w:val="24"/>
                <w:lang w:val="en-US" w:eastAsia="zh-CN" w:bidi="ar"/>
              </w:rPr>
              <w:t>调整后预算</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62AF6384">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cs="仿宋_GB2312"/>
                <w:b/>
                <w:bCs/>
                <w:color w:val="000000"/>
                <w:kern w:val="0"/>
                <w:sz w:val="24"/>
                <w:szCs w:val="24"/>
                <w:lang w:val="en-US" w:eastAsia="zh-CN" w:bidi="ar"/>
              </w:rPr>
              <w:t>预算执行</w:t>
            </w:r>
          </w:p>
        </w:tc>
      </w:tr>
      <w:tr w14:paraId="0FFC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6" w:type="dxa"/>
            <w:tcBorders>
              <w:left w:val="single" w:color="auto" w:sz="4" w:space="0"/>
              <w:bottom w:val="single" w:color="auto" w:sz="4" w:space="0"/>
              <w:right w:val="single" w:color="auto" w:sz="4" w:space="0"/>
            </w:tcBorders>
            <w:shd w:val="clear" w:color="auto" w:fill="auto"/>
            <w:vAlign w:val="center"/>
          </w:tcPr>
          <w:p w14:paraId="2242871D">
            <w:pPr>
              <w:widowControl/>
              <w:jc w:val="center"/>
              <w:textAlignment w:val="center"/>
              <w:rPr>
                <w:rFonts w:hint="default" w:ascii="仿宋_GB2312" w:hAnsi="仿宋_GB2312" w:cs="仿宋_GB2312"/>
                <w:color w:val="000000"/>
                <w:kern w:val="0"/>
                <w:sz w:val="24"/>
                <w:szCs w:val="24"/>
                <w:highlight w:val="none"/>
                <w:lang w:val="en-US" w:eastAsia="zh-CN" w:bidi="ar"/>
              </w:rPr>
            </w:pPr>
            <w:r>
              <w:rPr>
                <w:rFonts w:hint="eastAsia" w:ascii="仿宋_GB2312" w:hAnsi="仿宋_GB2312" w:cs="仿宋_GB2312"/>
                <w:b/>
                <w:bCs/>
                <w:color w:val="000000"/>
                <w:kern w:val="0"/>
                <w:sz w:val="24"/>
                <w:szCs w:val="24"/>
                <w:lang w:val="en-US" w:eastAsia="zh-CN" w:bidi="ar"/>
              </w:rPr>
              <w:t>合计</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4E8003E5">
            <w:pPr>
              <w:snapToGrid w:val="0"/>
              <w:spacing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425</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3B2B938D">
            <w:pPr>
              <w:snapToGrid w:val="0"/>
              <w:spacing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2C58C455">
            <w:pPr>
              <w:snapToGrid w:val="0"/>
              <w:spacing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425</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09514B20">
            <w:pPr>
              <w:snapToGrid w:val="0"/>
              <w:spacing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425</w:t>
            </w:r>
          </w:p>
        </w:tc>
      </w:tr>
    </w:tbl>
    <w:p w14:paraId="25D7830B">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黑体" w:hAnsi="黑体" w:eastAsia="黑体" w:cs="黑体"/>
          <w:sz w:val="32"/>
          <w:szCs w:val="32"/>
        </w:rPr>
      </w:pPr>
      <w:bookmarkStart w:id="55" w:name="_Toc32582"/>
      <w:r>
        <w:rPr>
          <w:rFonts w:hint="eastAsia"/>
          <w:sz w:val="32"/>
          <w:szCs w:val="32"/>
        </w:rPr>
        <w:t>三、评价结论及绩效分析</w:t>
      </w:r>
      <w:bookmarkEnd w:id="55"/>
    </w:p>
    <w:p w14:paraId="34F14A18">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56" w:name="_Toc30299"/>
      <w:r>
        <w:rPr>
          <w:rFonts w:hint="eastAsia" w:ascii="楷体_GB2312" w:hAnsi="楷体_GB2312" w:eastAsia="楷体_GB2312" w:cs="楷体_GB2312"/>
          <w:b/>
          <w:lang w:val="en-US" w:eastAsia="zh-CN"/>
        </w:rPr>
        <w:t>（一）评价结论</w:t>
      </w:r>
      <w:bookmarkEnd w:id="56"/>
    </w:p>
    <w:p w14:paraId="3B76C513">
      <w:pPr>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szCs w:val="32"/>
          <w:highlight w:val="none"/>
          <w:lang w:val="en-US" w:eastAsia="zh-CN"/>
        </w:rPr>
        <w:t>总体来看，“2025年乡村振兴衔接资金-开发式公岗</w:t>
      </w:r>
      <w:r>
        <w:rPr>
          <w:rFonts w:hint="eastAsia" w:cs="Times New Roman"/>
          <w:szCs w:val="32"/>
          <w:lang w:val="en-US" w:eastAsia="zh-CN"/>
        </w:rPr>
        <w:t>（第一批）</w:t>
      </w:r>
      <w:r>
        <w:rPr>
          <w:rFonts w:hint="eastAsia" w:ascii="Times New Roman" w:hAnsi="Times New Roman" w:cs="Times New Roman"/>
          <w:szCs w:val="32"/>
          <w:highlight w:val="none"/>
          <w:lang w:val="en-US" w:eastAsia="zh-CN"/>
        </w:rPr>
        <w:t>”项目</w:t>
      </w:r>
      <w:r>
        <w:rPr>
          <w:rFonts w:hint="eastAsia" w:cs="Times New Roman"/>
          <w:szCs w:val="32"/>
          <w:highlight w:val="none"/>
          <w:lang w:val="en-US" w:eastAsia="zh-CN"/>
        </w:rPr>
        <w:t>全部</w:t>
      </w:r>
      <w:r>
        <w:rPr>
          <w:rFonts w:hint="eastAsia" w:ascii="Times New Roman" w:hAnsi="Times New Roman" w:cs="Times New Roman"/>
          <w:szCs w:val="32"/>
          <w:highlight w:val="none"/>
          <w:lang w:val="en-US" w:eastAsia="zh-CN"/>
        </w:rPr>
        <w:t>完成了总体绩效目标，</w:t>
      </w:r>
      <w:r>
        <w:rPr>
          <w:rFonts w:hint="eastAsia" w:cs="Times New Roman"/>
          <w:szCs w:val="32"/>
          <w:highlight w:val="none"/>
          <w:lang w:val="en-US" w:eastAsia="zh-CN"/>
        </w:rPr>
        <w:t>完成上岗人数</w:t>
      </w:r>
      <w:r>
        <w:rPr>
          <w:rFonts w:hint="eastAsia"/>
          <w:lang w:val="en-US" w:eastAsia="zh-CN"/>
        </w:rPr>
        <w:t>3014人</w:t>
      </w:r>
      <w:r>
        <w:rPr>
          <w:rFonts w:hint="eastAsia" w:cs="Times New Roman"/>
          <w:szCs w:val="32"/>
          <w:highlight w:val="none"/>
          <w:lang w:val="en-US" w:eastAsia="zh-CN"/>
        </w:rPr>
        <w:t>的补助发放工作，</w:t>
      </w:r>
      <w:r>
        <w:rPr>
          <w:rFonts w:hint="eastAsia"/>
          <w:lang w:val="en-US" w:eastAsia="zh-CN"/>
        </w:rPr>
        <w:t>其中：脱贫户2796人，监测户218人</w:t>
      </w:r>
      <w:r>
        <w:rPr>
          <w:rFonts w:hint="eastAsia" w:cs="Times New Roman"/>
          <w:szCs w:val="32"/>
          <w:highlight w:val="none"/>
          <w:lang w:val="en-US" w:eastAsia="zh-CN"/>
        </w:rPr>
        <w:t>。开发式公岗补贴精准覆盖脱贫户与防返贫监测对象，为就业困难群体提供家门口的就业岗位，既破解增收难题、筑牢防返贫底线，又推动帮扶从“输血”转向“造血”，还能补充基层治理力量，实现巩固脱贫成果与乡村发展双赢。</w:t>
      </w:r>
      <w:r>
        <w:rPr>
          <w:rFonts w:ascii="宋体" w:hAnsi="宋体" w:eastAsia="宋体" w:cs="宋体"/>
          <w:sz w:val="24"/>
          <w:szCs w:val="24"/>
          <w:highlight w:val="none"/>
        </w:rPr>
        <w:t>‌‌</w:t>
      </w:r>
      <w:r>
        <w:rPr>
          <w:rFonts w:hint="eastAsia" w:ascii="仿宋_GB2312" w:hAnsi="仿宋_GB2312" w:cs="仿宋_GB2312"/>
          <w:highlight w:val="none"/>
        </w:rPr>
        <w:t>但是，</w:t>
      </w:r>
      <w:r>
        <w:rPr>
          <w:rFonts w:hint="eastAsia" w:ascii="仿宋_GB2312" w:hAnsi="仿宋_GB2312" w:cs="仿宋_GB2312"/>
          <w:highlight w:val="none"/>
          <w:lang w:val="en-US" w:eastAsia="zh-CN"/>
        </w:rPr>
        <w:t>在绩效评价过程中发现以下问题：</w:t>
      </w:r>
      <w:r>
        <w:rPr>
          <w:rFonts w:hint="default" w:ascii="Times New Roman" w:hAnsi="Times New Roman" w:cs="Times New Roman"/>
          <w:highlight w:val="none"/>
          <w:lang w:val="en-US" w:eastAsia="zh-CN"/>
        </w:rPr>
        <w:t>一是</w:t>
      </w:r>
      <w:r>
        <w:rPr>
          <w:rFonts w:hint="default" w:ascii="Times New Roman" w:hAnsi="Times New Roman" w:cs="Times New Roman"/>
          <w:szCs w:val="32"/>
          <w:highlight w:val="none"/>
          <w:lang w:val="en-US" w:eastAsia="zh-CN"/>
        </w:rPr>
        <w:t>绩效管理工作不细致</w:t>
      </w:r>
      <w:r>
        <w:rPr>
          <w:rFonts w:hint="eastAsia" w:cs="Times New Roman"/>
          <w:szCs w:val="32"/>
          <w:highlight w:val="none"/>
          <w:lang w:val="en-US" w:eastAsia="zh-CN"/>
        </w:rPr>
        <w:t>；二是绩效目标体系完整性不足。</w:t>
      </w:r>
      <w:r>
        <w:rPr>
          <w:rFonts w:hint="eastAsia" w:ascii="仿宋_GB2312" w:hAnsi="仿宋_GB2312" w:cs="仿宋_GB2312"/>
          <w:highlight w:val="none"/>
        </w:rPr>
        <w:t>本项目绩效评价得分</w:t>
      </w:r>
      <w:r>
        <w:rPr>
          <w:rFonts w:hint="eastAsia" w:cs="Times New Roman"/>
          <w:b w:val="0"/>
          <w:bCs w:val="0"/>
          <w:color w:val="auto"/>
          <w:highlight w:val="none"/>
          <w:lang w:val="en-US" w:eastAsia="zh-CN"/>
        </w:rPr>
        <w:t>96</w:t>
      </w:r>
      <w:r>
        <w:rPr>
          <w:rFonts w:hint="eastAsia" w:ascii="仿宋_GB2312" w:hAnsi="仿宋_GB2312" w:cs="仿宋_GB2312"/>
          <w:highlight w:val="none"/>
        </w:rPr>
        <w:t>分，评价结果为“</w:t>
      </w:r>
      <w:r>
        <w:rPr>
          <w:rFonts w:hint="eastAsia" w:ascii="仿宋_GB2312" w:hAnsi="仿宋_GB2312" w:cs="仿宋_GB2312"/>
          <w:highlight w:val="none"/>
          <w:lang w:val="en-US" w:eastAsia="zh-CN"/>
        </w:rPr>
        <w:t>优</w:t>
      </w:r>
      <w:r>
        <w:rPr>
          <w:rFonts w:hint="eastAsia" w:ascii="仿宋_GB2312" w:hAnsi="仿宋_GB2312" w:cs="仿宋_GB2312"/>
          <w:highlight w:val="none"/>
        </w:rPr>
        <w:t>”</w:t>
      </w:r>
      <w:r>
        <w:rPr>
          <w:rFonts w:hint="eastAsia" w:ascii="仿宋_GB2312" w:hAnsi="仿宋_GB2312" w:cs="仿宋_GB2312"/>
          <w:highlight w:val="none"/>
          <w:lang w:eastAsia="zh-CN"/>
        </w:rPr>
        <w:t>。</w:t>
      </w:r>
      <w:r>
        <w:rPr>
          <w:rFonts w:hint="eastAsia" w:ascii="仿宋_GB2312" w:hAnsi="仿宋_GB2312" w:cs="仿宋_GB2312"/>
          <w:highlight w:val="none"/>
        </w:rPr>
        <w:t>项目支出得分情况详见表</w:t>
      </w:r>
      <w:r>
        <w:rPr>
          <w:rFonts w:hint="eastAsia" w:ascii="Times New Roman" w:hAnsi="Times New Roman" w:cs="Times New Roman"/>
          <w:b w:val="0"/>
          <w:bCs w:val="0"/>
          <w:highlight w:val="none"/>
          <w:lang w:val="en-US" w:eastAsia="zh-CN"/>
        </w:rPr>
        <w:t>3-1：</w:t>
      </w:r>
    </w:p>
    <w:p w14:paraId="66A82D85">
      <w:pPr>
        <w:keepNext w:val="0"/>
        <w:keepLines w:val="0"/>
        <w:pageBreakBefore w:val="0"/>
        <w:widowControl w:val="0"/>
        <w:kinsoku/>
        <w:wordWrap/>
        <w:overflowPunct/>
        <w:topLinePunct w:val="0"/>
        <w:autoSpaceDE/>
        <w:autoSpaceDN/>
        <w:bidi w:val="0"/>
        <w:adjustRightInd/>
        <w:snapToGrid/>
        <w:spacing w:line="480" w:lineRule="exact"/>
        <w:ind w:left="-17" w:right="6"/>
        <w:jc w:val="center"/>
        <w:textAlignment w:val="auto"/>
        <w:rPr>
          <w:rFonts w:hint="eastAsia" w:ascii="仿宋" w:hAnsi="仿宋" w:eastAsia="仿宋"/>
          <w:b/>
          <w:bCs/>
          <w:sz w:val="28"/>
          <w:szCs w:val="24"/>
          <w:highlight w:val="none"/>
          <w:lang w:val="en-US" w:eastAsia="zh-CN"/>
        </w:rPr>
      </w:pPr>
      <w:r>
        <w:rPr>
          <w:rFonts w:hint="eastAsia" w:ascii="仿宋" w:hAnsi="仿宋" w:eastAsia="仿宋"/>
          <w:b/>
          <w:bCs/>
          <w:sz w:val="28"/>
          <w:szCs w:val="24"/>
        </w:rPr>
        <w:t>表3-1</w:t>
      </w:r>
      <w:r>
        <w:rPr>
          <w:rFonts w:hint="eastAsia" w:ascii="仿宋" w:hAnsi="仿宋" w:eastAsia="仿宋"/>
          <w:b/>
          <w:bCs/>
          <w:sz w:val="28"/>
          <w:szCs w:val="24"/>
          <w:lang w:val="en-US" w:eastAsia="zh-CN"/>
        </w:rPr>
        <w:t xml:space="preserve">  </w:t>
      </w:r>
      <w:r>
        <w:rPr>
          <w:rFonts w:hint="eastAsia" w:ascii="仿宋" w:hAnsi="仿宋" w:eastAsia="仿宋"/>
          <w:b/>
          <w:bCs/>
          <w:sz w:val="28"/>
          <w:szCs w:val="24"/>
          <w:highlight w:val="none"/>
          <w:lang w:val="en-US" w:eastAsia="zh-CN"/>
        </w:rPr>
        <w:t>2025年乡村振兴衔接资金-开发式公岗（第一批）项目</w:t>
      </w:r>
    </w:p>
    <w:p w14:paraId="18E9C911">
      <w:pPr>
        <w:keepNext w:val="0"/>
        <w:keepLines w:val="0"/>
        <w:pageBreakBefore w:val="0"/>
        <w:widowControl w:val="0"/>
        <w:kinsoku/>
        <w:wordWrap/>
        <w:overflowPunct/>
        <w:topLinePunct w:val="0"/>
        <w:autoSpaceDE/>
        <w:autoSpaceDN/>
        <w:bidi w:val="0"/>
        <w:adjustRightInd/>
        <w:snapToGrid/>
        <w:spacing w:line="480" w:lineRule="exact"/>
        <w:ind w:left="-17" w:right="6"/>
        <w:jc w:val="center"/>
        <w:textAlignment w:val="auto"/>
        <w:rPr>
          <w:b/>
          <w:bCs/>
        </w:rPr>
      </w:pPr>
      <w:r>
        <w:rPr>
          <w:rFonts w:hint="eastAsia" w:ascii="仿宋" w:hAnsi="仿宋" w:eastAsia="仿宋"/>
          <w:b/>
          <w:bCs/>
          <w:sz w:val="28"/>
          <w:szCs w:val="24"/>
          <w:highlight w:val="none"/>
          <w:lang w:val="en-US" w:eastAsia="zh-CN"/>
        </w:rPr>
        <w:t>支出</w:t>
      </w:r>
      <w:r>
        <w:rPr>
          <w:rFonts w:hint="eastAsia" w:ascii="仿宋" w:hAnsi="仿宋" w:eastAsia="仿宋"/>
          <w:b/>
          <w:bCs/>
          <w:sz w:val="28"/>
          <w:szCs w:val="24"/>
          <w:highlight w:val="none"/>
        </w:rPr>
        <w:t>绩效评价得分表</w:t>
      </w:r>
    </w:p>
    <w:tbl>
      <w:tblPr>
        <w:tblStyle w:val="15"/>
        <w:tblW w:w="8519" w:type="dxa"/>
        <w:tblInd w:w="0" w:type="dxa"/>
        <w:tblLayout w:type="fixed"/>
        <w:tblCellMar>
          <w:top w:w="0" w:type="dxa"/>
          <w:left w:w="108" w:type="dxa"/>
          <w:bottom w:w="0" w:type="dxa"/>
          <w:right w:w="108" w:type="dxa"/>
        </w:tblCellMar>
      </w:tblPr>
      <w:tblGrid>
        <w:gridCol w:w="1256"/>
        <w:gridCol w:w="2236"/>
        <w:gridCol w:w="2749"/>
        <w:gridCol w:w="1166"/>
        <w:gridCol w:w="1112"/>
      </w:tblGrid>
      <w:tr w14:paraId="64D40DB7">
        <w:tblPrEx>
          <w:tblCellMar>
            <w:top w:w="0" w:type="dxa"/>
            <w:left w:w="108" w:type="dxa"/>
            <w:bottom w:w="0" w:type="dxa"/>
            <w:right w:w="108" w:type="dxa"/>
          </w:tblCellMar>
        </w:tblPrEx>
        <w:trPr>
          <w:trHeight w:val="567" w:hRule="exact"/>
          <w:tblHead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B4B">
            <w:pPr>
              <w:ind w:left="-15" w:right="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一级指标</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7EF8">
            <w:pPr>
              <w:ind w:left="-15" w:right="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二级指标</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118">
            <w:pPr>
              <w:ind w:left="-15" w:right="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三级指标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4A2">
            <w:pPr>
              <w:ind w:left="-15" w:right="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赋分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84DD">
            <w:pPr>
              <w:ind w:left="-15" w:right="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得分</w:t>
            </w:r>
          </w:p>
        </w:tc>
      </w:tr>
      <w:tr w14:paraId="5AD53AA7">
        <w:tblPrEx>
          <w:tblCellMar>
            <w:top w:w="0" w:type="dxa"/>
            <w:left w:w="108" w:type="dxa"/>
            <w:bottom w:w="0" w:type="dxa"/>
            <w:right w:w="108" w:type="dxa"/>
          </w:tblCellMar>
        </w:tblPrEx>
        <w:trPr>
          <w:trHeight w:val="567" w:hRule="exac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6E23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通用指标</w:t>
            </w:r>
          </w:p>
          <w:p w14:paraId="2AF284F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（54分）</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43471">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项目决策</w:t>
            </w:r>
          </w:p>
          <w:p w14:paraId="3A587192">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（18分）</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FD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决策程序</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253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217">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r>
      <w:tr w14:paraId="0601EA1E">
        <w:tblPrEx>
          <w:tblCellMar>
            <w:top w:w="0" w:type="dxa"/>
            <w:left w:w="108" w:type="dxa"/>
            <w:bottom w:w="0" w:type="dxa"/>
            <w:right w:w="108" w:type="dxa"/>
          </w:tblCellMar>
        </w:tblPrEx>
        <w:trPr>
          <w:trHeight w:val="567" w:hRule="exac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19A57">
            <w:pPr>
              <w:jc w:val="center"/>
              <w:rPr>
                <w:rFonts w:hint="eastAsia" w:ascii="宋体" w:hAnsi="宋体" w:eastAsia="宋体" w:cs="宋体"/>
                <w:color w:val="000000"/>
                <w:sz w:val="22"/>
                <w:szCs w:val="22"/>
              </w:rPr>
            </w:pP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8488">
            <w:pPr>
              <w:jc w:val="center"/>
              <w:rPr>
                <w:rFonts w:hint="eastAsia" w:ascii="宋体" w:hAnsi="宋体" w:eastAsia="宋体" w:cs="宋体"/>
                <w:color w:val="000000"/>
                <w:sz w:val="22"/>
                <w:szCs w:val="22"/>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642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规划论证</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C0C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8F5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r>
      <w:tr w14:paraId="13BB8A8D">
        <w:tblPrEx>
          <w:tblCellMar>
            <w:top w:w="0" w:type="dxa"/>
            <w:left w:w="108" w:type="dxa"/>
            <w:bottom w:w="0" w:type="dxa"/>
            <w:right w:w="108" w:type="dxa"/>
          </w:tblCellMar>
        </w:tblPrEx>
        <w:trPr>
          <w:trHeight w:val="567" w:hRule="exac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9EC5">
            <w:pPr>
              <w:jc w:val="center"/>
              <w:rPr>
                <w:rFonts w:hint="eastAsia" w:ascii="宋体" w:hAnsi="宋体" w:eastAsia="宋体" w:cs="宋体"/>
                <w:color w:val="000000"/>
                <w:sz w:val="22"/>
                <w:szCs w:val="22"/>
              </w:rPr>
            </w:pP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CD6F">
            <w:pPr>
              <w:widowControl/>
              <w:jc w:val="center"/>
              <w:textAlignment w:val="center"/>
              <w:rPr>
                <w:rFonts w:hint="eastAsia" w:ascii="宋体" w:hAnsi="宋体" w:eastAsia="宋体" w:cs="宋体"/>
                <w:color w:val="000000"/>
                <w:sz w:val="22"/>
                <w:szCs w:val="22"/>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630">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资金投向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A7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EE3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r>
      <w:tr w14:paraId="18A74BED">
        <w:tblPrEx>
          <w:tblCellMar>
            <w:top w:w="0" w:type="dxa"/>
            <w:left w:w="108" w:type="dxa"/>
            <w:bottom w:w="0" w:type="dxa"/>
            <w:right w:w="108" w:type="dxa"/>
          </w:tblCellMar>
        </w:tblPrEx>
        <w:trPr>
          <w:trHeight w:val="567" w:hRule="exact"/>
        </w:trPr>
        <w:tc>
          <w:tcPr>
            <w:tcW w:w="1256" w:type="dxa"/>
            <w:vMerge w:val="continue"/>
            <w:tcBorders>
              <w:top w:val="single" w:color="000000" w:sz="4" w:space="0"/>
              <w:left w:val="single" w:color="000000" w:sz="4" w:space="0"/>
              <w:right w:val="single" w:color="000000" w:sz="2" w:space="0"/>
            </w:tcBorders>
            <w:shd w:val="clear" w:color="auto" w:fill="auto"/>
            <w:vAlign w:val="center"/>
          </w:tcPr>
          <w:p w14:paraId="26A9B6EB">
            <w:pPr>
              <w:jc w:val="center"/>
              <w:rPr>
                <w:rFonts w:hint="eastAsia" w:ascii="宋体" w:hAnsi="宋体" w:eastAsia="宋体" w:cs="宋体"/>
                <w:color w:val="000000"/>
                <w:sz w:val="22"/>
                <w:szCs w:val="22"/>
              </w:rPr>
            </w:pPr>
          </w:p>
        </w:tc>
        <w:tc>
          <w:tcPr>
            <w:tcW w:w="2236" w:type="dxa"/>
            <w:vMerge w:val="restart"/>
            <w:tcBorders>
              <w:top w:val="single" w:color="000000" w:sz="4" w:space="0"/>
              <w:left w:val="single" w:color="000000" w:sz="2" w:space="0"/>
              <w:right w:val="single" w:color="000000" w:sz="2" w:space="0"/>
            </w:tcBorders>
            <w:shd w:val="clear" w:color="auto" w:fill="auto"/>
            <w:vAlign w:val="center"/>
          </w:tcPr>
          <w:p w14:paraId="351B474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项目管理</w:t>
            </w:r>
          </w:p>
          <w:p w14:paraId="2E6A8FC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（18分）</w:t>
            </w:r>
          </w:p>
        </w:tc>
        <w:tc>
          <w:tcPr>
            <w:tcW w:w="274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2AD0C3F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制度办法</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295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731">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p>
        </w:tc>
      </w:tr>
      <w:tr w14:paraId="4FEE2676">
        <w:tblPrEx>
          <w:tblCellMar>
            <w:top w:w="0" w:type="dxa"/>
            <w:left w:w="108" w:type="dxa"/>
            <w:bottom w:w="0" w:type="dxa"/>
            <w:right w:w="108" w:type="dxa"/>
          </w:tblCellMar>
        </w:tblPrEx>
        <w:trPr>
          <w:trHeight w:val="567" w:hRule="exact"/>
        </w:trPr>
        <w:tc>
          <w:tcPr>
            <w:tcW w:w="1256" w:type="dxa"/>
            <w:vMerge w:val="continue"/>
            <w:tcBorders>
              <w:left w:val="single" w:color="000000" w:sz="4" w:space="0"/>
              <w:right w:val="single" w:color="000000" w:sz="2" w:space="0"/>
            </w:tcBorders>
            <w:shd w:val="clear" w:color="auto" w:fill="auto"/>
            <w:vAlign w:val="center"/>
          </w:tcPr>
          <w:p w14:paraId="37448856">
            <w:pPr>
              <w:jc w:val="center"/>
              <w:rPr>
                <w:rFonts w:hint="eastAsia" w:ascii="宋体" w:hAnsi="宋体" w:eastAsia="宋体" w:cs="宋体"/>
                <w:color w:val="000000"/>
                <w:sz w:val="22"/>
                <w:szCs w:val="22"/>
              </w:rPr>
            </w:pPr>
          </w:p>
        </w:tc>
        <w:tc>
          <w:tcPr>
            <w:tcW w:w="2236" w:type="dxa"/>
            <w:vMerge w:val="continue"/>
            <w:tcBorders>
              <w:left w:val="single" w:color="000000" w:sz="2" w:space="0"/>
              <w:right w:val="single" w:color="000000" w:sz="2" w:space="0"/>
            </w:tcBorders>
            <w:shd w:val="clear" w:color="auto" w:fill="auto"/>
            <w:vAlign w:val="center"/>
          </w:tcPr>
          <w:p w14:paraId="5F669D47">
            <w:pPr>
              <w:widowControl/>
              <w:jc w:val="center"/>
              <w:textAlignment w:val="center"/>
              <w:rPr>
                <w:rFonts w:hint="eastAsia" w:ascii="宋体" w:hAnsi="宋体" w:eastAsia="宋体" w:cs="宋体"/>
                <w:color w:val="000000"/>
                <w:sz w:val="22"/>
                <w:szCs w:val="22"/>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10E">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分配管理</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D83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A7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r>
      <w:tr w14:paraId="396E9941">
        <w:tblPrEx>
          <w:tblCellMar>
            <w:top w:w="0" w:type="dxa"/>
            <w:left w:w="108" w:type="dxa"/>
            <w:bottom w:w="0" w:type="dxa"/>
            <w:right w:w="108" w:type="dxa"/>
          </w:tblCellMar>
        </w:tblPrEx>
        <w:trPr>
          <w:trHeight w:val="567" w:hRule="exact"/>
        </w:trPr>
        <w:tc>
          <w:tcPr>
            <w:tcW w:w="1256" w:type="dxa"/>
            <w:vMerge w:val="continue"/>
            <w:tcBorders>
              <w:left w:val="single" w:color="000000" w:sz="4" w:space="0"/>
              <w:right w:val="single" w:color="000000" w:sz="2" w:space="0"/>
            </w:tcBorders>
            <w:shd w:val="clear" w:color="auto" w:fill="auto"/>
            <w:vAlign w:val="center"/>
          </w:tcPr>
          <w:p w14:paraId="385C0D6C">
            <w:pPr>
              <w:jc w:val="center"/>
              <w:rPr>
                <w:rFonts w:hint="eastAsia" w:ascii="宋体" w:hAnsi="宋体" w:eastAsia="宋体" w:cs="宋体"/>
                <w:color w:val="000000"/>
                <w:sz w:val="22"/>
                <w:szCs w:val="22"/>
              </w:rPr>
            </w:pPr>
          </w:p>
        </w:tc>
        <w:tc>
          <w:tcPr>
            <w:tcW w:w="2236" w:type="dxa"/>
            <w:vMerge w:val="continue"/>
            <w:tcBorders>
              <w:left w:val="single" w:color="000000" w:sz="2" w:space="0"/>
              <w:bottom w:val="single" w:color="000000" w:sz="2" w:space="0"/>
              <w:right w:val="single" w:color="000000" w:sz="2" w:space="0"/>
            </w:tcBorders>
            <w:shd w:val="clear" w:color="auto" w:fill="auto"/>
            <w:vAlign w:val="center"/>
          </w:tcPr>
          <w:p w14:paraId="049ED04F">
            <w:pPr>
              <w:jc w:val="center"/>
              <w:rPr>
                <w:rFonts w:hint="eastAsia" w:ascii="宋体" w:hAnsi="宋体" w:eastAsia="宋体" w:cs="宋体"/>
                <w:color w:val="000000"/>
                <w:sz w:val="22"/>
                <w:szCs w:val="22"/>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51B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绩效监管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C3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D7A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r>
      <w:tr w14:paraId="79F42EB5">
        <w:tblPrEx>
          <w:tblCellMar>
            <w:top w:w="0" w:type="dxa"/>
            <w:left w:w="108" w:type="dxa"/>
            <w:bottom w:w="0" w:type="dxa"/>
            <w:right w:w="108" w:type="dxa"/>
          </w:tblCellMar>
        </w:tblPrEx>
        <w:trPr>
          <w:trHeight w:val="567" w:hRule="exact"/>
        </w:trPr>
        <w:tc>
          <w:tcPr>
            <w:tcW w:w="1256" w:type="dxa"/>
            <w:vMerge w:val="continue"/>
            <w:tcBorders>
              <w:left w:val="single" w:color="000000" w:sz="4" w:space="0"/>
              <w:right w:val="single" w:color="000000" w:sz="2" w:space="0"/>
            </w:tcBorders>
            <w:shd w:val="clear" w:color="auto" w:fill="auto"/>
            <w:vAlign w:val="center"/>
          </w:tcPr>
          <w:p w14:paraId="7B55332D">
            <w:pPr>
              <w:widowControl/>
              <w:jc w:val="center"/>
              <w:textAlignment w:val="center"/>
              <w:rPr>
                <w:rFonts w:hint="eastAsia" w:ascii="宋体" w:hAnsi="宋体" w:eastAsia="宋体" w:cs="宋体"/>
                <w:color w:val="000000"/>
                <w:sz w:val="22"/>
                <w:szCs w:val="22"/>
              </w:rPr>
            </w:pPr>
          </w:p>
        </w:tc>
        <w:tc>
          <w:tcPr>
            <w:tcW w:w="2236" w:type="dxa"/>
            <w:vMerge w:val="restart"/>
            <w:tcBorders>
              <w:top w:val="single" w:color="000000" w:sz="2" w:space="0"/>
              <w:left w:val="single" w:color="000000" w:sz="4" w:space="0"/>
              <w:bottom w:val="single" w:color="000000" w:sz="2" w:space="0"/>
              <w:right w:val="single" w:color="000000" w:sz="4" w:space="0"/>
            </w:tcBorders>
            <w:shd w:val="clear" w:color="auto" w:fill="auto"/>
            <w:vAlign w:val="center"/>
          </w:tcPr>
          <w:p w14:paraId="0F936876">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项目实施</w:t>
            </w:r>
          </w:p>
          <w:p w14:paraId="0576F69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（9分）</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341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预算执行</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C40">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2B29">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r>
      <w:tr w14:paraId="7DF54641">
        <w:tblPrEx>
          <w:tblCellMar>
            <w:top w:w="0" w:type="dxa"/>
            <w:left w:w="108" w:type="dxa"/>
            <w:bottom w:w="0" w:type="dxa"/>
            <w:right w:w="108" w:type="dxa"/>
          </w:tblCellMar>
        </w:tblPrEx>
        <w:trPr>
          <w:trHeight w:val="567" w:hRule="exact"/>
        </w:trPr>
        <w:tc>
          <w:tcPr>
            <w:tcW w:w="1256" w:type="dxa"/>
            <w:vMerge w:val="continue"/>
            <w:tcBorders>
              <w:left w:val="single" w:color="000000" w:sz="4" w:space="0"/>
              <w:right w:val="single" w:color="000000" w:sz="2" w:space="0"/>
            </w:tcBorders>
            <w:shd w:val="clear" w:color="auto" w:fill="auto"/>
            <w:vAlign w:val="center"/>
          </w:tcPr>
          <w:p w14:paraId="269712A7">
            <w:pPr>
              <w:jc w:val="center"/>
              <w:rPr>
                <w:rFonts w:hint="eastAsia" w:ascii="宋体" w:hAnsi="宋体" w:eastAsia="宋体" w:cs="宋体"/>
                <w:color w:val="000000"/>
                <w:sz w:val="22"/>
                <w:szCs w:val="22"/>
              </w:rPr>
            </w:pPr>
          </w:p>
        </w:tc>
        <w:tc>
          <w:tcPr>
            <w:tcW w:w="2236" w:type="dxa"/>
            <w:vMerge w:val="continue"/>
            <w:tcBorders>
              <w:top w:val="single" w:color="000000" w:sz="2" w:space="0"/>
              <w:left w:val="single" w:color="000000" w:sz="4" w:space="0"/>
              <w:bottom w:val="single" w:color="000000" w:sz="2" w:space="0"/>
              <w:right w:val="single" w:color="000000" w:sz="4" w:space="0"/>
            </w:tcBorders>
            <w:shd w:val="clear" w:color="auto" w:fill="auto"/>
            <w:vAlign w:val="center"/>
          </w:tcPr>
          <w:p w14:paraId="00DFB8AB">
            <w:pPr>
              <w:jc w:val="center"/>
              <w:rPr>
                <w:rFonts w:hint="eastAsia" w:ascii="宋体" w:hAnsi="宋体" w:eastAsia="宋体" w:cs="宋体"/>
                <w:color w:val="000000"/>
                <w:sz w:val="22"/>
                <w:szCs w:val="22"/>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5747">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资金使用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1D2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4C0">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r>
      <w:tr w14:paraId="0737CD59">
        <w:tblPrEx>
          <w:tblCellMar>
            <w:top w:w="0" w:type="dxa"/>
            <w:left w:w="108" w:type="dxa"/>
            <w:bottom w:w="0" w:type="dxa"/>
            <w:right w:w="108" w:type="dxa"/>
          </w:tblCellMar>
        </w:tblPrEx>
        <w:trPr>
          <w:trHeight w:val="567" w:hRule="exact"/>
        </w:trPr>
        <w:tc>
          <w:tcPr>
            <w:tcW w:w="1256" w:type="dxa"/>
            <w:vMerge w:val="continue"/>
            <w:tcBorders>
              <w:left w:val="single" w:color="000000" w:sz="4" w:space="0"/>
              <w:right w:val="single" w:color="000000" w:sz="2" w:space="0"/>
            </w:tcBorders>
            <w:shd w:val="clear" w:color="auto" w:fill="auto"/>
            <w:vAlign w:val="center"/>
          </w:tcPr>
          <w:p w14:paraId="770A57D7">
            <w:pPr>
              <w:jc w:val="center"/>
              <w:rPr>
                <w:rFonts w:hint="eastAsia" w:ascii="宋体" w:hAnsi="宋体" w:eastAsia="宋体" w:cs="宋体"/>
                <w:color w:val="000000"/>
                <w:sz w:val="22"/>
                <w:szCs w:val="22"/>
              </w:rPr>
            </w:pPr>
          </w:p>
        </w:tc>
        <w:tc>
          <w:tcPr>
            <w:tcW w:w="2236" w:type="dxa"/>
            <w:vMerge w:val="restart"/>
            <w:tcBorders>
              <w:top w:val="single" w:color="000000" w:sz="2" w:space="0"/>
              <w:left w:val="single" w:color="000000" w:sz="4" w:space="0"/>
              <w:right w:val="single" w:color="000000" w:sz="4" w:space="0"/>
            </w:tcBorders>
            <w:shd w:val="clear" w:color="auto" w:fill="auto"/>
            <w:vAlign w:val="center"/>
          </w:tcPr>
          <w:p w14:paraId="00F43DE7">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项目结果</w:t>
            </w:r>
          </w:p>
          <w:p w14:paraId="5E7F779D">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（9分）</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453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目标完成</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7ED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5EE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r>
      <w:tr w14:paraId="0E285297">
        <w:tblPrEx>
          <w:tblCellMar>
            <w:top w:w="0" w:type="dxa"/>
            <w:left w:w="108" w:type="dxa"/>
            <w:bottom w:w="0" w:type="dxa"/>
            <w:right w:w="108" w:type="dxa"/>
          </w:tblCellMar>
        </w:tblPrEx>
        <w:trPr>
          <w:trHeight w:val="567" w:hRule="exact"/>
        </w:trPr>
        <w:tc>
          <w:tcPr>
            <w:tcW w:w="1256" w:type="dxa"/>
            <w:vMerge w:val="continue"/>
            <w:tcBorders>
              <w:left w:val="single" w:color="000000" w:sz="4" w:space="0"/>
              <w:bottom w:val="single" w:color="000000" w:sz="4" w:space="0"/>
              <w:right w:val="single" w:color="000000" w:sz="2" w:space="0"/>
            </w:tcBorders>
            <w:shd w:val="clear" w:color="auto" w:fill="auto"/>
            <w:vAlign w:val="center"/>
          </w:tcPr>
          <w:p w14:paraId="0FA7A166">
            <w:pPr>
              <w:jc w:val="center"/>
              <w:rPr>
                <w:rFonts w:hint="eastAsia" w:ascii="宋体" w:hAnsi="宋体" w:eastAsia="宋体" w:cs="宋体"/>
                <w:color w:val="000000"/>
                <w:sz w:val="22"/>
                <w:szCs w:val="22"/>
              </w:rPr>
            </w:pPr>
          </w:p>
        </w:tc>
        <w:tc>
          <w:tcPr>
            <w:tcW w:w="2236" w:type="dxa"/>
            <w:vMerge w:val="continue"/>
            <w:tcBorders>
              <w:left w:val="single" w:color="000000" w:sz="4" w:space="0"/>
              <w:bottom w:val="single" w:color="000000" w:sz="4" w:space="0"/>
              <w:right w:val="single" w:color="000000" w:sz="4" w:space="0"/>
            </w:tcBorders>
            <w:shd w:val="clear" w:color="auto" w:fill="auto"/>
            <w:vAlign w:val="center"/>
          </w:tcPr>
          <w:p w14:paraId="2EC306BB">
            <w:pPr>
              <w:widowControl/>
              <w:jc w:val="center"/>
              <w:textAlignment w:val="center"/>
              <w:rPr>
                <w:rFonts w:hint="eastAsia" w:ascii="宋体" w:hAnsi="宋体" w:eastAsia="宋体" w:cs="宋体"/>
                <w:color w:val="000000"/>
                <w:sz w:val="22"/>
                <w:szCs w:val="22"/>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7F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完成时效</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DCE0">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2F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r>
      <w:tr w14:paraId="74CD101C">
        <w:tblPrEx>
          <w:tblCellMar>
            <w:top w:w="0" w:type="dxa"/>
            <w:left w:w="108" w:type="dxa"/>
            <w:bottom w:w="0" w:type="dxa"/>
            <w:right w:w="108" w:type="dxa"/>
          </w:tblCellMar>
        </w:tblPrEx>
        <w:trPr>
          <w:trHeight w:val="567" w:hRule="exac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2F54F">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专用指标</w:t>
            </w:r>
          </w:p>
          <w:p w14:paraId="5AFF2506">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30分</w:t>
            </w:r>
            <w:r>
              <w:rPr>
                <w:rFonts w:hint="eastAsia" w:ascii="宋体" w:hAnsi="宋体" w:eastAsia="宋体" w:cs="宋体"/>
                <w:color w:val="000000"/>
                <w:kern w:val="0"/>
                <w:sz w:val="22"/>
                <w:szCs w:val="22"/>
                <w:lang w:eastAsia="zh-CN" w:bidi="ar"/>
              </w:rPr>
              <w:t>）</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39F19">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民生保障</w:t>
            </w:r>
          </w:p>
          <w:p w14:paraId="3EBAB524">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（30分）</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3999">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区域均衡性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B7E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6A0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r>
      <w:tr w14:paraId="15EFD145">
        <w:tblPrEx>
          <w:tblCellMar>
            <w:top w:w="0" w:type="dxa"/>
            <w:left w:w="108" w:type="dxa"/>
            <w:bottom w:w="0" w:type="dxa"/>
            <w:right w:w="108" w:type="dxa"/>
          </w:tblCellMar>
        </w:tblPrEx>
        <w:trPr>
          <w:trHeight w:val="567" w:hRule="exact"/>
        </w:trPr>
        <w:tc>
          <w:tcPr>
            <w:tcW w:w="1256" w:type="dxa"/>
            <w:vMerge w:val="continue"/>
            <w:tcBorders>
              <w:left w:val="single" w:color="000000" w:sz="4" w:space="0"/>
              <w:right w:val="single" w:color="000000" w:sz="4" w:space="0"/>
            </w:tcBorders>
            <w:shd w:val="clear" w:color="auto" w:fill="auto"/>
            <w:vAlign w:val="center"/>
          </w:tcPr>
          <w:p w14:paraId="5ED2D0EB">
            <w:pPr>
              <w:widowControl/>
              <w:jc w:val="center"/>
              <w:textAlignment w:val="center"/>
              <w:rPr>
                <w:rFonts w:hint="eastAsia" w:ascii="宋体" w:hAnsi="宋体" w:eastAsia="宋体" w:cs="宋体"/>
                <w:color w:val="000000"/>
                <w:kern w:val="0"/>
                <w:sz w:val="22"/>
                <w:szCs w:val="22"/>
                <w:lang w:eastAsia="zh-CN" w:bidi="ar"/>
              </w:rPr>
            </w:pPr>
          </w:p>
        </w:tc>
        <w:tc>
          <w:tcPr>
            <w:tcW w:w="2236" w:type="dxa"/>
            <w:vMerge w:val="continue"/>
            <w:tcBorders>
              <w:left w:val="single" w:color="000000" w:sz="4" w:space="0"/>
              <w:right w:val="single" w:color="000000" w:sz="4" w:space="0"/>
            </w:tcBorders>
            <w:shd w:val="clear" w:color="auto" w:fill="auto"/>
            <w:vAlign w:val="center"/>
          </w:tcPr>
          <w:p w14:paraId="67E74B1A">
            <w:pPr>
              <w:widowControl/>
              <w:jc w:val="center"/>
              <w:textAlignment w:val="center"/>
              <w:rPr>
                <w:rFonts w:hint="eastAsia" w:ascii="宋体" w:hAnsi="宋体" w:eastAsia="宋体" w:cs="宋体"/>
                <w:color w:val="000000"/>
                <w:sz w:val="22"/>
                <w:szCs w:val="22"/>
                <w:lang w:val="en-US" w:eastAsia="zh-CN"/>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8DF6">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对象精准性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938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9E53">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r>
      <w:tr w14:paraId="082F4439">
        <w:tblPrEx>
          <w:tblCellMar>
            <w:top w:w="0" w:type="dxa"/>
            <w:left w:w="108" w:type="dxa"/>
            <w:bottom w:w="0" w:type="dxa"/>
            <w:right w:w="108" w:type="dxa"/>
          </w:tblCellMar>
        </w:tblPrEx>
        <w:trPr>
          <w:trHeight w:val="567" w:hRule="exac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5E6B">
            <w:pPr>
              <w:jc w:val="center"/>
              <w:rPr>
                <w:rFonts w:hint="eastAsia" w:ascii="宋体" w:hAnsi="宋体" w:eastAsia="宋体" w:cs="宋体"/>
                <w:color w:val="000000"/>
                <w:sz w:val="22"/>
                <w:szCs w:val="22"/>
              </w:rPr>
            </w:pP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F7AA">
            <w:pPr>
              <w:widowControl/>
              <w:jc w:val="center"/>
              <w:textAlignment w:val="center"/>
              <w:rPr>
                <w:rFonts w:hint="eastAsia" w:ascii="宋体" w:hAnsi="宋体" w:eastAsia="宋体" w:cs="宋体"/>
                <w:color w:val="000000"/>
                <w:sz w:val="22"/>
                <w:szCs w:val="22"/>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2C6">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标准合理性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E0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E566">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r>
      <w:tr w14:paraId="78AD0FB0">
        <w:tblPrEx>
          <w:tblCellMar>
            <w:top w:w="0" w:type="dxa"/>
            <w:left w:w="108" w:type="dxa"/>
            <w:bottom w:w="0" w:type="dxa"/>
            <w:right w:w="108" w:type="dxa"/>
          </w:tblCellMar>
        </w:tblPrEx>
        <w:trPr>
          <w:trHeight w:val="666" w:hRule="exact"/>
        </w:trPr>
        <w:tc>
          <w:tcPr>
            <w:tcW w:w="1256" w:type="dxa"/>
            <w:vMerge w:val="restart"/>
            <w:tcBorders>
              <w:top w:val="single" w:color="000000" w:sz="4" w:space="0"/>
              <w:left w:val="single" w:color="000000" w:sz="4" w:space="0"/>
              <w:right w:val="single" w:color="000000" w:sz="4" w:space="0"/>
            </w:tcBorders>
            <w:shd w:val="clear" w:color="auto" w:fill="auto"/>
            <w:vAlign w:val="center"/>
          </w:tcPr>
          <w:p w14:paraId="69F17B3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个性指标</w:t>
            </w:r>
          </w:p>
          <w:p w14:paraId="6C77A6F3">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16分</w:t>
            </w:r>
            <w:r>
              <w:rPr>
                <w:rFonts w:hint="eastAsia" w:ascii="宋体" w:hAnsi="宋体" w:eastAsia="宋体" w:cs="宋体"/>
                <w:color w:val="000000"/>
                <w:kern w:val="0"/>
                <w:sz w:val="22"/>
                <w:szCs w:val="22"/>
                <w:lang w:eastAsia="zh-CN" w:bidi="ar"/>
              </w:rPr>
              <w:t>）</w:t>
            </w:r>
          </w:p>
        </w:tc>
        <w:tc>
          <w:tcPr>
            <w:tcW w:w="2236" w:type="dxa"/>
            <w:tcBorders>
              <w:top w:val="single" w:color="000000" w:sz="4" w:space="0"/>
              <w:left w:val="single" w:color="000000" w:sz="4" w:space="0"/>
              <w:right w:val="single" w:color="000000" w:sz="4" w:space="0"/>
            </w:tcBorders>
            <w:shd w:val="clear" w:color="auto" w:fill="auto"/>
            <w:vAlign w:val="center"/>
          </w:tcPr>
          <w:p w14:paraId="090D82F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项目实施管理合规性</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D5E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程序合规性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82A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096">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r>
      <w:tr w14:paraId="58614BBD">
        <w:tblPrEx>
          <w:tblCellMar>
            <w:top w:w="0" w:type="dxa"/>
            <w:left w:w="108" w:type="dxa"/>
            <w:bottom w:w="0" w:type="dxa"/>
            <w:right w:w="108" w:type="dxa"/>
          </w:tblCellMar>
        </w:tblPrEx>
        <w:trPr>
          <w:trHeight w:val="666" w:hRule="exact"/>
        </w:trPr>
        <w:tc>
          <w:tcPr>
            <w:tcW w:w="1256" w:type="dxa"/>
            <w:vMerge w:val="continue"/>
            <w:tcBorders>
              <w:left w:val="single" w:color="000000" w:sz="4" w:space="0"/>
              <w:bottom w:val="single" w:color="000000" w:sz="4" w:space="0"/>
              <w:right w:val="single" w:color="000000" w:sz="4" w:space="0"/>
            </w:tcBorders>
            <w:shd w:val="clear" w:color="auto" w:fill="auto"/>
            <w:vAlign w:val="center"/>
          </w:tcPr>
          <w:p w14:paraId="6E1E2E95">
            <w:pPr>
              <w:widowControl/>
              <w:jc w:val="center"/>
              <w:textAlignment w:val="center"/>
              <w:rPr>
                <w:rFonts w:hint="eastAsia" w:ascii="宋体" w:hAnsi="宋体" w:eastAsia="宋体" w:cs="宋体"/>
                <w:color w:val="000000"/>
                <w:kern w:val="0"/>
                <w:sz w:val="22"/>
                <w:szCs w:val="22"/>
                <w:lang w:eastAsia="zh-CN" w:bidi="ar"/>
              </w:rPr>
            </w:pPr>
          </w:p>
        </w:tc>
        <w:tc>
          <w:tcPr>
            <w:tcW w:w="2236" w:type="dxa"/>
            <w:tcBorders>
              <w:top w:val="single" w:color="000000" w:sz="4" w:space="0"/>
              <w:left w:val="single" w:color="000000" w:sz="4" w:space="0"/>
              <w:right w:val="single" w:color="000000" w:sz="4" w:space="0"/>
            </w:tcBorders>
            <w:shd w:val="clear" w:color="auto" w:fill="auto"/>
            <w:vAlign w:val="center"/>
          </w:tcPr>
          <w:p w14:paraId="7A7C19D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政策实施效果反馈</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625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群众满意度</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3A3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8C4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r>
      <w:tr w14:paraId="2451B392">
        <w:tblPrEx>
          <w:tblCellMar>
            <w:top w:w="0" w:type="dxa"/>
            <w:left w:w="108" w:type="dxa"/>
            <w:bottom w:w="0" w:type="dxa"/>
            <w:right w:w="108" w:type="dxa"/>
          </w:tblCellMar>
        </w:tblPrEx>
        <w:trPr>
          <w:trHeight w:val="567" w:hRule="exact"/>
        </w:trPr>
        <w:tc>
          <w:tcPr>
            <w:tcW w:w="6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BCB99">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B9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54DD">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96</w:t>
            </w:r>
          </w:p>
        </w:tc>
      </w:tr>
    </w:tbl>
    <w:p w14:paraId="64B4ED94">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57" w:name="_Toc9889"/>
      <w:r>
        <w:rPr>
          <w:rFonts w:hint="eastAsia" w:ascii="楷体_GB2312" w:hAnsi="楷体_GB2312" w:eastAsia="楷体_GB2312" w:cs="楷体_GB2312"/>
          <w:b/>
          <w:lang w:val="en-US" w:eastAsia="zh-CN"/>
        </w:rPr>
        <w:t>（二）绩效分析</w:t>
      </w:r>
      <w:bookmarkEnd w:id="57"/>
    </w:p>
    <w:p w14:paraId="409166D6">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1.通用指标分析</w:t>
      </w:r>
    </w:p>
    <w:p w14:paraId="689FE693">
      <w:pPr>
        <w:spacing w:line="590" w:lineRule="exact"/>
        <w:ind w:firstLine="640" w:firstLineChars="200"/>
      </w:pPr>
      <w:r>
        <w:rPr>
          <w:rFonts w:hint="eastAsia" w:ascii="Times New Roman" w:hAnsi="Times New Roman" w:cs="Times New Roman"/>
          <w:szCs w:val="32"/>
          <w:lang w:val="en-US" w:eastAsia="zh-CN"/>
        </w:rPr>
        <w:t>一</w:t>
      </w:r>
      <w:r>
        <w:rPr>
          <w:rFonts w:hint="eastAsia" w:ascii="Times New Roman" w:hAnsi="Times New Roman" w:cs="Times New Roman"/>
          <w:szCs w:val="32"/>
          <w:highlight w:val="none"/>
          <w:lang w:val="en-US" w:eastAsia="zh-CN"/>
        </w:rPr>
        <w:t>级指标“通用指标”赋分</w:t>
      </w:r>
      <w:r>
        <w:rPr>
          <w:rFonts w:hint="eastAsia" w:cs="Times New Roman"/>
          <w:szCs w:val="32"/>
          <w:highlight w:val="none"/>
          <w:lang w:val="en-US" w:eastAsia="zh-CN"/>
        </w:rPr>
        <w:t>54</w:t>
      </w:r>
      <w:r>
        <w:rPr>
          <w:rFonts w:hint="eastAsia" w:ascii="Times New Roman" w:hAnsi="Times New Roman" w:cs="Times New Roman"/>
          <w:szCs w:val="32"/>
          <w:highlight w:val="none"/>
          <w:lang w:val="en-US" w:eastAsia="zh-CN"/>
        </w:rPr>
        <w:t>分，下设项目决策、项目管理、项目实施、项目结果4个二</w:t>
      </w:r>
      <w:r>
        <w:rPr>
          <w:rFonts w:hint="eastAsia" w:ascii="Times New Roman" w:hAnsi="Times New Roman" w:cs="Times New Roman"/>
          <w:szCs w:val="32"/>
          <w:lang w:val="en-US" w:eastAsia="zh-CN"/>
        </w:rPr>
        <w:t>级指标，得分情况如表3-2：</w:t>
      </w:r>
    </w:p>
    <w:p w14:paraId="2B5D482C">
      <w:pPr>
        <w:pStyle w:val="14"/>
        <w:spacing w:after="0" w:line="590" w:lineRule="exact"/>
        <w:ind w:left="0" w:leftChars="0" w:firstLine="0" w:firstLineChars="0"/>
        <w:jc w:val="center"/>
        <w:rPr>
          <w:rFonts w:hint="eastAsia" w:ascii="仿宋" w:hAnsi="仿宋" w:eastAsia="仿宋" w:cs="Times New Roman"/>
          <w:b/>
          <w:bCs/>
          <w:kern w:val="2"/>
          <w:sz w:val="28"/>
          <w:szCs w:val="24"/>
          <w:highlight w:val="none"/>
          <w:lang w:val="en-US" w:eastAsia="zh-CN" w:bidi="ar-SA"/>
        </w:rPr>
      </w:pPr>
      <w:r>
        <w:rPr>
          <w:rFonts w:hint="eastAsia" w:ascii="仿宋" w:hAnsi="仿宋" w:eastAsia="仿宋" w:cs="Times New Roman"/>
          <w:b/>
          <w:bCs/>
          <w:kern w:val="2"/>
          <w:sz w:val="28"/>
          <w:szCs w:val="24"/>
          <w:highlight w:val="none"/>
          <w:lang w:val="en-US" w:eastAsia="zh-CN" w:bidi="ar-SA"/>
        </w:rPr>
        <w:t>表3-2  通用指标得分情况表</w:t>
      </w:r>
    </w:p>
    <w:tbl>
      <w:tblPr>
        <w:tblStyle w:val="15"/>
        <w:tblW w:w="8519" w:type="dxa"/>
        <w:tblInd w:w="0" w:type="dxa"/>
        <w:tblLayout w:type="fixed"/>
        <w:tblCellMar>
          <w:top w:w="0" w:type="dxa"/>
          <w:left w:w="108" w:type="dxa"/>
          <w:bottom w:w="0" w:type="dxa"/>
          <w:right w:w="108" w:type="dxa"/>
        </w:tblCellMar>
      </w:tblPr>
      <w:tblGrid>
        <w:gridCol w:w="1239"/>
        <w:gridCol w:w="2048"/>
        <w:gridCol w:w="1755"/>
        <w:gridCol w:w="1159"/>
        <w:gridCol w:w="1159"/>
        <w:gridCol w:w="1159"/>
      </w:tblGrid>
      <w:tr w14:paraId="2E4B0283">
        <w:tblPrEx>
          <w:tblCellMar>
            <w:top w:w="0" w:type="dxa"/>
            <w:left w:w="108" w:type="dxa"/>
            <w:bottom w:w="0" w:type="dxa"/>
            <w:right w:w="108"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250F">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一级指标</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7F77">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二级指标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A3C0">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三级指标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305">
            <w:pPr>
              <w:widowControl/>
              <w:jc w:val="center"/>
              <w:textAlignment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kern w:val="0"/>
                <w:sz w:val="24"/>
                <w:szCs w:val="24"/>
                <w:highlight w:val="none"/>
                <w:lang w:val="en-US" w:eastAsia="zh-CN" w:bidi="ar"/>
              </w:rPr>
              <w:t>分值</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98F1">
            <w:pPr>
              <w:widowControl/>
              <w:jc w:val="center"/>
              <w:textAlignment w:val="center"/>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得分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713C">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得分率</w:t>
            </w:r>
          </w:p>
        </w:tc>
      </w:tr>
      <w:tr w14:paraId="11C2E235">
        <w:tblPrEx>
          <w:tblCellMar>
            <w:top w:w="0" w:type="dxa"/>
            <w:left w:w="108" w:type="dxa"/>
            <w:bottom w:w="0" w:type="dxa"/>
            <w:right w:w="108" w:type="dxa"/>
          </w:tblCellMar>
        </w:tblPrEx>
        <w:trPr>
          <w:trHeight w:val="454" w:hRule="exac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93AEB">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通用指标（54分）</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07C1E">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项目决策</w:t>
            </w:r>
          </w:p>
          <w:p w14:paraId="0D3B162E">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（18分）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B51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决策程序</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890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2EF">
            <w:pPr>
              <w:widowControl/>
              <w:jc w:val="center"/>
              <w:textAlignment w:val="center"/>
              <w:rPr>
                <w:rFonts w:hint="eastAsia" w:ascii="宋体" w:hAnsi="宋体" w:eastAsia="宋体" w:cs="宋体"/>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61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1413FC97">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16B8">
            <w:pPr>
              <w:jc w:val="center"/>
              <w:rPr>
                <w:rFonts w:ascii="宋体" w:hAnsi="宋体" w:eastAsia="宋体" w:cs="宋体"/>
                <w:color w:val="000000"/>
                <w:sz w:val="22"/>
                <w:szCs w:val="22"/>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BF03">
            <w:pPr>
              <w:jc w:val="center"/>
              <w:rPr>
                <w:rFonts w:ascii="宋体" w:hAnsi="宋体" w:eastAsia="宋体" w:cs="宋体"/>
                <w:color w:val="000000"/>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821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规划论证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03B8">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CEEB">
            <w:pPr>
              <w:widowControl/>
              <w:jc w:val="center"/>
              <w:textAlignment w:val="center"/>
              <w:rPr>
                <w:rFonts w:hint="eastAsia" w:ascii="宋体" w:hAnsi="宋体" w:eastAsia="宋体" w:cs="宋体"/>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12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66.67%</w:t>
            </w:r>
          </w:p>
        </w:tc>
      </w:tr>
      <w:tr w14:paraId="628CD847">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2280">
            <w:pPr>
              <w:jc w:val="center"/>
              <w:rPr>
                <w:rFonts w:ascii="宋体" w:hAnsi="宋体" w:eastAsia="宋体" w:cs="宋体"/>
                <w:color w:val="000000"/>
                <w:sz w:val="22"/>
                <w:szCs w:val="22"/>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7027">
            <w:pPr>
              <w:widowControl/>
              <w:jc w:val="center"/>
              <w:textAlignment w:val="center"/>
              <w:rPr>
                <w:rFonts w:ascii="宋体" w:hAnsi="宋体" w:eastAsia="宋体" w:cs="宋体"/>
                <w:color w:val="000000"/>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D8EF">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资金投向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141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FA5">
            <w:pPr>
              <w:widowControl/>
              <w:jc w:val="center"/>
              <w:textAlignment w:val="center"/>
              <w:rPr>
                <w:rFonts w:hint="eastAsia" w:ascii="宋体" w:hAnsi="宋体" w:eastAsia="宋体" w:cs="宋体"/>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EB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6BC0EAC0">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D4E7">
            <w:pPr>
              <w:jc w:val="center"/>
              <w:rPr>
                <w:rFonts w:ascii="宋体" w:hAnsi="宋体" w:eastAsia="宋体" w:cs="宋体"/>
                <w:color w:val="000000"/>
                <w:sz w:val="22"/>
                <w:szCs w:val="22"/>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B1CF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项目管理</w:t>
            </w:r>
          </w:p>
          <w:p w14:paraId="557335CE">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（18分）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87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制度办法</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5B2E">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2284">
            <w:pPr>
              <w:widowControl/>
              <w:jc w:val="center"/>
              <w:textAlignment w:val="center"/>
              <w:rPr>
                <w:rFonts w:hint="eastAsia" w:ascii="宋体" w:hAnsi="宋体" w:eastAsia="宋体" w:cs="宋体"/>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B9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6014DC20">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B1C3">
            <w:pPr>
              <w:jc w:val="center"/>
              <w:rPr>
                <w:rFonts w:ascii="宋体" w:hAnsi="宋体" w:eastAsia="宋体" w:cs="宋体"/>
                <w:color w:val="000000"/>
                <w:sz w:val="22"/>
                <w:szCs w:val="22"/>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8296">
            <w:pPr>
              <w:widowControl/>
              <w:jc w:val="center"/>
              <w:textAlignment w:val="center"/>
              <w:rPr>
                <w:rFonts w:ascii="宋体" w:hAnsi="宋体" w:eastAsia="宋体" w:cs="宋体"/>
                <w:color w:val="000000"/>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F1A0">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分配管理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ED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A5F7">
            <w:pPr>
              <w:widowControl/>
              <w:jc w:val="center"/>
              <w:textAlignment w:val="center"/>
              <w:rPr>
                <w:rFonts w:hint="eastAsia" w:ascii="宋体" w:hAnsi="宋体" w:eastAsia="宋体" w:cs="宋体"/>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3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06CA27F1">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1DA1">
            <w:pPr>
              <w:jc w:val="center"/>
              <w:rPr>
                <w:rFonts w:ascii="宋体" w:hAnsi="宋体" w:eastAsia="宋体" w:cs="宋体"/>
                <w:color w:val="000000"/>
                <w:sz w:val="22"/>
                <w:szCs w:val="22"/>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29DC">
            <w:pPr>
              <w:jc w:val="center"/>
              <w:rPr>
                <w:rFonts w:ascii="宋体" w:hAnsi="宋体" w:eastAsia="宋体" w:cs="宋体"/>
                <w:color w:val="000000"/>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02A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绩效监管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AA4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E2F4">
            <w:pPr>
              <w:widowControl/>
              <w:jc w:val="center"/>
              <w:textAlignment w:val="center"/>
              <w:rPr>
                <w:rFonts w:hint="eastAsia" w:ascii="宋体" w:hAnsi="宋体" w:eastAsia="宋体" w:cs="宋体"/>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08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66.67%</w:t>
            </w:r>
          </w:p>
        </w:tc>
      </w:tr>
      <w:tr w14:paraId="29AC6FF8">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D8FC">
            <w:pPr>
              <w:widowControl/>
              <w:jc w:val="center"/>
              <w:textAlignment w:val="center"/>
              <w:rPr>
                <w:rFonts w:ascii="宋体" w:hAnsi="宋体" w:eastAsia="宋体" w:cs="宋体"/>
                <w:color w:val="000000"/>
                <w:sz w:val="22"/>
                <w:szCs w:val="22"/>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B2F87">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项目实施</w:t>
            </w:r>
          </w:p>
          <w:p w14:paraId="04DD77CB">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（9分）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8111">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预算执行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7DB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59B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E7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765FF500">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59BD">
            <w:pPr>
              <w:jc w:val="center"/>
              <w:rPr>
                <w:rFonts w:ascii="宋体" w:hAnsi="宋体" w:eastAsia="宋体" w:cs="宋体"/>
                <w:color w:val="000000"/>
                <w:sz w:val="22"/>
                <w:szCs w:val="22"/>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6D20">
            <w:pPr>
              <w:jc w:val="center"/>
              <w:rPr>
                <w:rFonts w:ascii="宋体" w:hAnsi="宋体" w:eastAsia="宋体" w:cs="宋体"/>
                <w:color w:val="000000"/>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0B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资金使用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595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5A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14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500F0867">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3BAA">
            <w:pPr>
              <w:jc w:val="center"/>
              <w:rPr>
                <w:rFonts w:ascii="宋体" w:hAnsi="宋体" w:eastAsia="宋体" w:cs="宋体"/>
                <w:color w:val="000000"/>
                <w:sz w:val="22"/>
                <w:szCs w:val="22"/>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FFA1E">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项目结果</w:t>
            </w:r>
          </w:p>
          <w:p w14:paraId="08972F7E">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5F8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目标完成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70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E67">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6F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3723A9AF">
        <w:tblPrEx>
          <w:tblCellMar>
            <w:top w:w="0" w:type="dxa"/>
            <w:left w:w="108" w:type="dxa"/>
            <w:bottom w:w="0" w:type="dxa"/>
            <w:right w:w="108" w:type="dxa"/>
          </w:tblCellMar>
        </w:tblPrEx>
        <w:trPr>
          <w:trHeight w:val="454" w:hRule="exac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D145">
            <w:pPr>
              <w:jc w:val="center"/>
              <w:rPr>
                <w:rFonts w:ascii="宋体" w:hAnsi="宋体" w:eastAsia="宋体" w:cs="宋体"/>
                <w:color w:val="000000"/>
                <w:sz w:val="22"/>
                <w:szCs w:val="22"/>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AE43">
            <w:pPr>
              <w:widowControl/>
              <w:jc w:val="center"/>
              <w:textAlignment w:val="center"/>
              <w:rPr>
                <w:rFonts w:ascii="宋体" w:hAnsi="宋体" w:eastAsia="宋体" w:cs="宋体"/>
                <w:color w:val="000000"/>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3E60">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完成时效</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58F">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5D7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61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2"/>
                <w:szCs w:val="22"/>
                <w:highlight w:val="none"/>
                <w:lang w:val="en-US" w:eastAsia="zh-CN"/>
              </w:rPr>
              <w:t>100.00%</w:t>
            </w:r>
          </w:p>
        </w:tc>
      </w:tr>
      <w:tr w14:paraId="21D41E15">
        <w:tblPrEx>
          <w:tblCellMar>
            <w:top w:w="0" w:type="dxa"/>
            <w:left w:w="108" w:type="dxa"/>
            <w:bottom w:w="0" w:type="dxa"/>
            <w:right w:w="108" w:type="dxa"/>
          </w:tblCellMar>
        </w:tblPrEx>
        <w:trPr>
          <w:trHeight w:val="454" w:hRule="exact"/>
        </w:trPr>
        <w:tc>
          <w:tcPr>
            <w:tcW w:w="5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D1000">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sz w:val="22"/>
                <w:szCs w:val="22"/>
                <w:lang w:val="en-US" w:eastAsia="zh-CN"/>
              </w:rPr>
              <w:t>合计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6C1">
            <w:pPr>
              <w:widowControl/>
              <w:jc w:val="center"/>
              <w:textAlignment w:val="center"/>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54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E3B4">
            <w:pPr>
              <w:widowControl/>
              <w:jc w:val="center"/>
              <w:textAlignment w:val="center"/>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C6D8">
            <w:pPr>
              <w:widowControl/>
              <w:jc w:val="center"/>
              <w:textAlignment w:val="center"/>
              <w:rPr>
                <w:rFonts w:hint="default" w:ascii="宋体" w:hAnsi="宋体" w:eastAsia="宋体" w:cs="宋体"/>
                <w:b/>
                <w:bCs/>
                <w:color w:val="000000"/>
                <w:sz w:val="22"/>
                <w:szCs w:val="22"/>
                <w:highlight w:val="green"/>
                <w:lang w:val="en-US" w:eastAsia="zh-CN"/>
              </w:rPr>
            </w:pPr>
            <w:r>
              <w:rPr>
                <w:rFonts w:hint="eastAsia" w:ascii="宋体" w:hAnsi="宋体" w:eastAsia="宋体" w:cs="宋体"/>
                <w:b/>
                <w:bCs/>
                <w:color w:val="000000"/>
                <w:kern w:val="0"/>
                <w:sz w:val="22"/>
                <w:szCs w:val="22"/>
                <w:lang w:val="en-US" w:eastAsia="zh-CN" w:bidi="ar"/>
              </w:rPr>
              <w:t>92.59%</w:t>
            </w:r>
          </w:p>
        </w:tc>
      </w:tr>
    </w:tbl>
    <w:p w14:paraId="6F321BA7">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（1）项目决策指标分析（18分）</w:t>
      </w:r>
    </w:p>
    <w:p w14:paraId="3C45F562">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“项目决策”从“决策程序”“规划论证”和“资金投向”3个三级指标进行评价。</w:t>
      </w:r>
    </w:p>
    <w:p w14:paraId="6CE49506">
      <w:pPr>
        <w:spacing w:line="600" w:lineRule="exact"/>
        <w:ind w:firstLine="640" w:firstLineChars="200"/>
        <w:rPr>
          <w:rFonts w:ascii="仿宋_GB2312" w:hAnsi="仿宋_GB2312" w:cs="仿宋_GB2312"/>
        </w:rPr>
      </w:pPr>
      <w:r>
        <w:rPr>
          <w:rFonts w:hint="eastAsia" w:ascii="仿宋_GB2312" w:hAnsi="仿宋_GB2312" w:cs="仿宋_GB2312"/>
        </w:rPr>
        <w:t>①</w:t>
      </w:r>
      <w:r>
        <w:rPr>
          <w:rFonts w:hint="eastAsia" w:ascii="仿宋_GB2312" w:hAnsi="仿宋_GB2312" w:cs="仿宋_GB2312"/>
          <w:lang w:val="en-US" w:eastAsia="zh-CN"/>
        </w:rPr>
        <w:t>决策程序</w:t>
      </w:r>
    </w:p>
    <w:p w14:paraId="2B35834F">
      <w:pPr>
        <w:spacing w:line="590" w:lineRule="exact"/>
        <w:ind w:firstLine="640" w:firstLineChars="200"/>
        <w:rPr>
          <w:rFonts w:ascii="仿宋_GB2312" w:hAnsi="仿宋_GB2312" w:cs="仿宋_GB2312"/>
          <w:highlight w:val="none"/>
        </w:rPr>
      </w:pPr>
      <w:r>
        <w:rPr>
          <w:rFonts w:hint="eastAsia" w:ascii="仿宋_GB2312" w:hAnsi="仿宋_GB2312" w:cs="仿宋_GB2312"/>
          <w:highlight w:val="none"/>
        </w:rPr>
        <w:t>该指标评价项目设立、调整延续等方面是否符合资金管理基本规范和决策程序要求。</w:t>
      </w:r>
    </w:p>
    <w:p w14:paraId="66B1D83E">
      <w:pPr>
        <w:spacing w:line="590" w:lineRule="exact"/>
        <w:ind w:firstLine="640" w:firstLineChars="200"/>
        <w:rPr>
          <w:rFonts w:hint="eastAsia" w:ascii="仿宋_GB2312" w:hAnsi="仿宋_GB2312" w:cs="仿宋_GB2312"/>
          <w:highlight w:val="none"/>
          <w:lang w:val="en-US" w:eastAsia="zh-CN"/>
        </w:rPr>
      </w:pPr>
      <w:r>
        <w:rPr>
          <w:rFonts w:hint="eastAsia" w:ascii="仿宋_GB2312" w:hAnsi="仿宋_GB2312" w:cs="仿宋_GB2312"/>
          <w:highlight w:val="none"/>
        </w:rPr>
        <w:t>评价结果：</w:t>
      </w:r>
      <w:r>
        <w:rPr>
          <w:rFonts w:hint="eastAsia" w:ascii="仿宋_GB2312" w:hAnsi="仿宋_GB2312" w:cs="仿宋_GB2312"/>
          <w:highlight w:val="none"/>
          <w:lang w:val="en-US" w:eastAsia="zh-CN"/>
        </w:rPr>
        <w:t>该项目经岳池县人民政府批准设立，与岳池县农业农村局“巩固拓展脱贫攻坚成果同乡村振兴有效衔接、统筹农村劳动力就业帮扶与农民增收、管理财政衔接推进乡村振兴补助资金、推动农村公益事业发展与基础设施管护”的职能职责相符。项目的设立符合市县两级主管部门的管理基本规范和决策程序，与部门的职责相符，属于该部门履职所需，符合地方事权支出责任划分原则。</w:t>
      </w:r>
    </w:p>
    <w:p w14:paraId="569896EB">
      <w:pPr>
        <w:spacing w:line="590" w:lineRule="exact"/>
        <w:ind w:firstLine="640" w:firstLineChars="200"/>
        <w:rPr>
          <w:rFonts w:hint="eastAsia" w:cs="Times New Roman"/>
          <w:szCs w:val="32"/>
          <w:lang w:val="en-US" w:eastAsia="zh-CN"/>
        </w:rPr>
      </w:pPr>
      <w:r>
        <w:rPr>
          <w:rFonts w:hint="eastAsia" w:cs="Times New Roman"/>
          <w:szCs w:val="32"/>
          <w:lang w:val="en-US" w:eastAsia="zh-CN"/>
        </w:rPr>
        <w:t>综上，该指标6分，评价得分6分。</w:t>
      </w:r>
    </w:p>
    <w:p w14:paraId="081A1429">
      <w:pPr>
        <w:spacing w:line="600" w:lineRule="exact"/>
        <w:ind w:firstLine="640" w:firstLineChars="200"/>
        <w:rPr>
          <w:rFonts w:hint="eastAsia" w:ascii="仿宋_GB2312" w:hAnsi="仿宋_GB2312" w:eastAsia="仿宋_GB2312" w:cs="仿宋_GB2312"/>
          <w:lang w:eastAsia="zh-CN"/>
        </w:rPr>
      </w:pPr>
      <w:r>
        <w:rPr>
          <w:rFonts w:hint="eastAsia" w:ascii="仿宋_GB2312" w:hAnsi="仿宋_GB2312" w:cs="仿宋_GB2312"/>
        </w:rPr>
        <w:t>②规划论证</w:t>
      </w:r>
    </w:p>
    <w:p w14:paraId="27995063">
      <w:pPr>
        <w:spacing w:line="590" w:lineRule="exact"/>
        <w:ind w:firstLine="640" w:firstLineChars="200"/>
        <w:rPr>
          <w:rFonts w:ascii="仿宋_GB2312" w:hAnsi="仿宋_GB2312" w:cs="仿宋_GB2312"/>
          <w:highlight w:val="none"/>
        </w:rPr>
      </w:pPr>
      <w:r>
        <w:rPr>
          <w:rFonts w:hint="eastAsia" w:ascii="仿宋_GB2312" w:hAnsi="仿宋_GB2312" w:cs="仿宋_GB2312"/>
        </w:rPr>
        <w:t>该指标主要</w:t>
      </w:r>
      <w:r>
        <w:t>用于评</w:t>
      </w:r>
      <w:r>
        <w:rPr>
          <w:highlight w:val="none"/>
        </w:rPr>
        <w:t>价</w:t>
      </w:r>
      <w:r>
        <w:rPr>
          <w:rFonts w:hint="eastAsia"/>
          <w:highlight w:val="none"/>
        </w:rPr>
        <w:t>项目规划论证是否符合中省要求，项目绩效目标设置是否科学合理</w:t>
      </w:r>
      <w:r>
        <w:rPr>
          <w:rFonts w:ascii="仿宋_GB2312" w:hAnsi="仿宋_GB2312" w:cs="仿宋_GB2312"/>
          <w:highlight w:val="none"/>
        </w:rPr>
        <w:t>。</w:t>
      </w:r>
    </w:p>
    <w:p w14:paraId="1C3EACBB">
      <w:pPr>
        <w:spacing w:line="590" w:lineRule="exact"/>
        <w:ind w:firstLine="640" w:firstLineChars="200"/>
        <w:rPr>
          <w:rFonts w:hint="default" w:cs="Times New Roman"/>
          <w:szCs w:val="32"/>
          <w:lang w:val="en-US" w:eastAsia="zh-CN"/>
        </w:rPr>
      </w:pPr>
      <w:r>
        <w:rPr>
          <w:rFonts w:hint="eastAsia" w:ascii="仿宋_GB2312" w:hAnsi="仿宋_GB2312" w:cs="仿宋_GB2312"/>
          <w:highlight w:val="none"/>
        </w:rPr>
        <w:t>评价结果：</w:t>
      </w:r>
      <w:r>
        <w:rPr>
          <w:rFonts w:hint="eastAsia" w:ascii="仿宋_GB2312" w:hAnsi="仿宋_GB2312" w:cs="仿宋_GB2312"/>
          <w:highlight w:val="none"/>
          <w:lang w:val="en-US" w:eastAsia="zh-CN"/>
        </w:rPr>
        <w:t>该项目符合</w:t>
      </w:r>
      <w:r>
        <w:rPr>
          <w:rFonts w:hint="eastAsia" w:cs="Times New Roman"/>
          <w:szCs w:val="32"/>
          <w:lang w:val="en-US" w:eastAsia="zh-CN"/>
        </w:rPr>
        <w:t>《关于印发〈广安市促进脱贫人口增收致富让脱贫群众生活更上一层楼行动2025年度工作方案〉的通知》（广乡振专办〔2025〕1号）要求，切实巩固脱贫攻坚成果，促进脱贫人口在2025年持续增收致富。</w:t>
      </w:r>
      <w:r>
        <w:rPr>
          <w:rFonts w:hint="eastAsia" w:ascii="Times New Roman" w:hAnsi="Times New Roman" w:cs="Times New Roman"/>
          <w:szCs w:val="32"/>
          <w:highlight w:val="none"/>
          <w:lang w:val="en-US" w:eastAsia="zh-CN"/>
        </w:rPr>
        <w:t>绩效目标设置</w:t>
      </w:r>
      <w:r>
        <w:rPr>
          <w:rFonts w:hint="eastAsia" w:cs="Times New Roman"/>
          <w:szCs w:val="32"/>
          <w:highlight w:val="none"/>
          <w:lang w:val="en-US" w:eastAsia="zh-CN"/>
        </w:rPr>
        <w:t>规范性不足，</w:t>
      </w:r>
      <w:r>
        <w:rPr>
          <w:rFonts w:hint="eastAsia" w:cs="Times New Roman"/>
          <w:szCs w:val="32"/>
          <w:lang w:val="en-US" w:eastAsia="zh-CN"/>
        </w:rPr>
        <w:t>完整性缺失。数量指标逻辑错位，将“补贴资金总额（</w:t>
      </w:r>
      <w:r>
        <w:rPr>
          <w:rFonts w:hint="default" w:ascii="Arial" w:hAnsi="Arial" w:cs="Arial"/>
          <w:szCs w:val="32"/>
          <w:lang w:val="en-US" w:eastAsia="zh-CN"/>
        </w:rPr>
        <w:t>≥</w:t>
      </w:r>
      <w:r>
        <w:rPr>
          <w:rFonts w:hint="eastAsia" w:cs="Times New Roman"/>
          <w:szCs w:val="32"/>
          <w:lang w:val="en-US" w:eastAsia="zh-CN"/>
        </w:rPr>
        <w:t>425万元）”列为数量指标，实际该指标属于“成本/资金控制指标”，且用“≥”会表示发放金额可高于拨款，不符合资金管理规范；未设置核心数量指标（如开发公益性岗位数量、受益脱贫人口/监测对象劳动力人数、补贴发放人次），数量维度缺失。绩效目标表中，未针对经济效益、社会效益、生态效益及可持续影响设置相应的效益指标，未能全面反映项目实施后产生的经济、社会、生态价值及长期影响，绩效目标体系完整性不足，无法对项目综合效益进行量化评价。</w:t>
      </w:r>
      <w:r>
        <w:rPr>
          <w:rFonts w:hint="eastAsia" w:ascii="仿宋_GB2312" w:hAnsi="仿宋_GB2312" w:cs="仿宋_GB2312"/>
          <w:highlight w:val="none"/>
          <w:lang w:val="en-US" w:eastAsia="zh-CN"/>
        </w:rPr>
        <w:t>项目总体绩效目标设置合理性偏离</w:t>
      </w:r>
      <w:r>
        <w:rPr>
          <w:rFonts w:hint="eastAsia" w:cs="Times New Roman"/>
          <w:szCs w:val="32"/>
          <w:lang w:val="en-US" w:eastAsia="zh-CN"/>
        </w:rPr>
        <w:t>33.33%。</w:t>
      </w:r>
    </w:p>
    <w:p w14:paraId="0E104B2D">
      <w:pPr>
        <w:spacing w:line="590" w:lineRule="exact"/>
        <w:ind w:firstLine="640" w:firstLineChars="200"/>
        <w:rPr>
          <w:rFonts w:hint="eastAsia" w:cs="Times New Roman"/>
          <w:szCs w:val="32"/>
          <w:lang w:val="en-US" w:eastAsia="zh-CN"/>
        </w:rPr>
      </w:pPr>
      <w:r>
        <w:rPr>
          <w:rFonts w:hint="eastAsia" w:cs="Times New Roman"/>
          <w:szCs w:val="32"/>
          <w:lang w:val="en-US" w:eastAsia="zh-CN"/>
        </w:rPr>
        <w:t>综上，该指标6分，评价得分4分。</w:t>
      </w:r>
    </w:p>
    <w:p w14:paraId="4A6A955E">
      <w:pPr>
        <w:spacing w:line="600" w:lineRule="exact"/>
        <w:ind w:firstLine="640" w:firstLineChars="200"/>
        <w:rPr>
          <w:rFonts w:hint="eastAsia" w:ascii="仿宋_GB2312" w:hAnsi="仿宋_GB2312" w:cs="仿宋_GB2312"/>
          <w:lang w:val="en-US" w:eastAsia="zh-CN"/>
        </w:rPr>
      </w:pPr>
      <w:r>
        <w:rPr>
          <w:rFonts w:hint="default" w:ascii="仿宋_GB2312" w:hAnsi="仿宋_GB2312" w:cs="仿宋_GB2312"/>
        </w:rPr>
        <w:t>③</w:t>
      </w:r>
      <w:r>
        <w:rPr>
          <w:rFonts w:hint="eastAsia" w:ascii="仿宋_GB2312" w:hAnsi="仿宋_GB2312" w:cs="仿宋_GB2312"/>
          <w:lang w:val="en-US" w:eastAsia="zh-CN"/>
        </w:rPr>
        <w:t>资金投向</w:t>
      </w:r>
    </w:p>
    <w:p w14:paraId="078770E5">
      <w:pPr>
        <w:spacing w:line="600" w:lineRule="exact"/>
        <w:ind w:firstLine="640" w:firstLineChars="200"/>
        <w:rPr>
          <w:rFonts w:hint="default" w:ascii="仿宋_GB2312" w:hAnsi="仿宋_GB2312" w:cs="仿宋_GB2312"/>
          <w:lang w:val="en-US" w:eastAsia="zh-CN"/>
        </w:rPr>
      </w:pPr>
      <w:r>
        <w:rPr>
          <w:rFonts w:hint="eastAsia" w:ascii="仿宋_GB2312" w:hAnsi="仿宋_GB2312" w:cs="仿宋_GB2312"/>
          <w:lang w:val="en-US" w:eastAsia="zh-CN"/>
        </w:rPr>
        <w:t>该指标主要用于</w:t>
      </w:r>
      <w:r>
        <w:rPr>
          <w:rFonts w:hint="eastAsia" w:ascii="仿宋_GB2312" w:hAnsi="仿宋_GB2312" w:cs="仿宋_GB2312"/>
          <w:highlight w:val="none"/>
          <w:lang w:val="en-US" w:eastAsia="zh-CN"/>
        </w:rPr>
        <w:t>评价</w:t>
      </w:r>
      <w:r>
        <w:rPr>
          <w:rFonts w:hint="default" w:ascii="仿宋_GB2312" w:hAnsi="仿宋_GB2312" w:cs="仿宋_GB2312"/>
          <w:highlight w:val="none"/>
          <w:lang w:val="en-US" w:eastAsia="zh-CN"/>
        </w:rPr>
        <w:t>项目资金是否与项目总体规划、相关行业事业发展相匹配，是否聚焦重大任务、</w:t>
      </w:r>
      <w:r>
        <w:rPr>
          <w:rFonts w:hint="default" w:ascii="仿宋_GB2312" w:hAnsi="仿宋_GB2312" w:cs="仿宋_GB2312"/>
          <w:lang w:val="en-US" w:eastAsia="zh-CN"/>
        </w:rPr>
        <w:t>重点领域、重点环节和重点项目</w:t>
      </w:r>
      <w:r>
        <w:rPr>
          <w:rFonts w:hint="eastAsia" w:ascii="仿宋_GB2312" w:hAnsi="仿宋_GB2312" w:cs="仿宋_GB2312"/>
          <w:lang w:val="en-US" w:eastAsia="zh-CN"/>
        </w:rPr>
        <w:t>。</w:t>
      </w:r>
    </w:p>
    <w:p w14:paraId="1C8112DC">
      <w:pPr>
        <w:adjustRightInd w:val="0"/>
        <w:snapToGrid w:val="0"/>
        <w:spacing w:line="560" w:lineRule="exact"/>
        <w:ind w:firstLine="640" w:firstLineChars="200"/>
        <w:rPr>
          <w:rFonts w:hint="default" w:ascii="仿宋_GB2312" w:hAnsi="仿宋_GB2312" w:cs="仿宋_GB2312"/>
          <w:lang w:val="en-US" w:eastAsia="zh-CN"/>
        </w:rPr>
      </w:pPr>
      <w:r>
        <w:rPr>
          <w:rFonts w:ascii="仿宋_GB2312" w:hAnsi="仿宋_GB2312" w:cs="仿宋_GB2312"/>
        </w:rPr>
        <w:t>评价结果</w:t>
      </w:r>
      <w:r>
        <w:rPr>
          <w:rFonts w:hint="eastAsia" w:ascii="仿宋_GB2312" w:hAnsi="仿宋_GB2312" w:cs="仿宋_GB2312"/>
          <w:lang w:eastAsia="zh-CN"/>
        </w:rPr>
        <w:t>：</w:t>
      </w:r>
      <w:r>
        <w:rPr>
          <w:rFonts w:hint="eastAsia" w:ascii="仿宋_GB2312" w:hAnsi="仿宋_GB2312" w:cs="仿宋_GB2312"/>
        </w:rPr>
        <w:t>该开发式公岗项目的资金专项用于开发式公益性岗位补贴，这一投向与“促进脱贫人口、监测对象稳岗就业”的项目总体规划高度契合，也符合乡村振兴、就业帮扶的行业事业发展方向，属于聚焦脱贫攻坚成果巩固的重点领域</w:t>
      </w:r>
      <w:r>
        <w:rPr>
          <w:rFonts w:hint="eastAsia" w:ascii="仿宋_GB2312" w:hAnsi="仿宋_GB2312" w:cs="仿宋_GB2312"/>
          <w:lang w:val="en-US" w:eastAsia="zh-CN"/>
        </w:rPr>
        <w:t>，</w:t>
      </w:r>
      <w:r>
        <w:rPr>
          <w:rFonts w:hint="default" w:ascii="仿宋_GB2312" w:hAnsi="仿宋_GB2312" w:cs="仿宋_GB2312"/>
          <w:lang w:val="en-US" w:eastAsia="zh-CN"/>
        </w:rPr>
        <w:t>属于政府支持范围，符合财政事权支出责任划分规定</w:t>
      </w:r>
      <w:r>
        <w:rPr>
          <w:rFonts w:hint="eastAsia" w:ascii="仿宋_GB2312" w:hAnsi="仿宋_GB2312" w:cs="仿宋_GB2312"/>
          <w:lang w:val="en-US" w:eastAsia="zh-CN"/>
        </w:rPr>
        <w:t>。</w:t>
      </w:r>
    </w:p>
    <w:p w14:paraId="4E2B1F97">
      <w:pPr>
        <w:spacing w:line="590" w:lineRule="exact"/>
        <w:ind w:firstLine="640" w:firstLineChars="200"/>
        <w:rPr>
          <w:rFonts w:hint="default" w:cs="Times New Roman"/>
          <w:szCs w:val="32"/>
          <w:lang w:val="en-US" w:eastAsia="zh-CN"/>
        </w:rPr>
      </w:pPr>
      <w:r>
        <w:rPr>
          <w:rFonts w:hint="eastAsia" w:cs="Times New Roman"/>
          <w:szCs w:val="32"/>
          <w:lang w:val="en-US" w:eastAsia="zh-CN"/>
        </w:rPr>
        <w:t>综上，该指标6分，评价得分6分。</w:t>
      </w:r>
    </w:p>
    <w:p w14:paraId="1B662BA3">
      <w:pPr>
        <w:spacing w:line="590" w:lineRule="exact"/>
        <w:ind w:firstLine="640" w:firstLineChars="200"/>
        <w:rPr>
          <w:rFonts w:ascii="仿宋_GB2312" w:hAnsi="仿宋_GB2312" w:cs="仿宋_GB2312"/>
        </w:rPr>
      </w:pPr>
      <w:r>
        <w:rPr>
          <w:rFonts w:hint="eastAsia" w:ascii="仿宋_GB2312" w:hAnsi="仿宋_GB2312" w:cs="仿宋_GB2312"/>
        </w:rPr>
        <w:t>（2）</w:t>
      </w:r>
      <w:r>
        <w:rPr>
          <w:rFonts w:hint="eastAsia" w:ascii="仿宋_GB2312" w:hAnsi="仿宋_GB2312" w:cs="仿宋_GB2312"/>
          <w:lang w:val="en-US" w:eastAsia="zh-CN"/>
        </w:rPr>
        <w:t>项目管理指标分析</w:t>
      </w:r>
      <w:r>
        <w:rPr>
          <w:rFonts w:hint="eastAsia" w:ascii="仿宋_GB2312" w:hAnsi="仿宋_GB2312" w:cs="仿宋_GB2312"/>
        </w:rPr>
        <w:t>（</w:t>
      </w:r>
      <w:r>
        <w:rPr>
          <w:rFonts w:hint="eastAsia" w:ascii="仿宋_GB2312" w:hAnsi="仿宋_GB2312" w:cs="仿宋_GB2312"/>
          <w:lang w:val="en-US" w:eastAsia="zh-CN"/>
        </w:rPr>
        <w:t>18</w:t>
      </w:r>
      <w:r>
        <w:rPr>
          <w:rFonts w:hint="eastAsia" w:ascii="仿宋_GB2312" w:hAnsi="仿宋_GB2312" w:cs="仿宋_GB2312"/>
        </w:rPr>
        <w:t>分）</w:t>
      </w:r>
    </w:p>
    <w:p w14:paraId="6A9E1DF9">
      <w:pPr>
        <w:spacing w:line="590" w:lineRule="exact"/>
        <w:ind w:firstLine="640" w:firstLineChars="200"/>
        <w:rPr>
          <w:rFonts w:hint="eastAsia" w:cs="Times New Roman"/>
          <w:szCs w:val="32"/>
          <w:lang w:val="en-US" w:eastAsia="zh-CN"/>
        </w:rPr>
      </w:pPr>
      <w:r>
        <w:rPr>
          <w:rFonts w:hint="eastAsia" w:cs="Times New Roman"/>
          <w:szCs w:val="32"/>
          <w:lang w:val="en-US" w:eastAsia="zh-CN"/>
        </w:rPr>
        <w:t>“项目管理”从“制度办法”“分配管理”和“绩效监管”3个三级指标进行评价。</w:t>
      </w:r>
    </w:p>
    <w:p w14:paraId="525AD81A">
      <w:pPr>
        <w:spacing w:line="590" w:lineRule="exact"/>
        <w:ind w:firstLine="640" w:firstLineChars="200"/>
        <w:rPr>
          <w:rFonts w:ascii="仿宋_GB2312" w:hAnsi="仿宋_GB2312" w:cs="仿宋_GB2312"/>
          <w:highlight w:val="none"/>
        </w:rPr>
      </w:pPr>
      <w:r>
        <w:rPr>
          <w:rFonts w:hint="eastAsia" w:ascii="仿宋_GB2312" w:hAnsi="仿宋_GB2312" w:cs="仿宋_GB2312"/>
        </w:rPr>
        <w:t>①</w:t>
      </w:r>
      <w:r>
        <w:rPr>
          <w:rFonts w:hint="eastAsia" w:ascii="仿宋_GB2312" w:hAnsi="仿宋_GB2312" w:cs="仿宋_GB2312"/>
          <w:lang w:val="en-US" w:eastAsia="zh-CN"/>
        </w:rPr>
        <w:t>制</w:t>
      </w:r>
      <w:r>
        <w:rPr>
          <w:rFonts w:hint="eastAsia" w:ascii="仿宋_GB2312" w:hAnsi="仿宋_GB2312" w:cs="仿宋_GB2312"/>
          <w:highlight w:val="none"/>
          <w:lang w:val="en-US" w:eastAsia="zh-CN"/>
        </w:rPr>
        <w:t>度办法</w:t>
      </w:r>
    </w:p>
    <w:p w14:paraId="6D129DF3">
      <w:pPr>
        <w:spacing w:line="590" w:lineRule="exact"/>
        <w:ind w:firstLine="640" w:firstLineChars="200"/>
        <w:rPr>
          <w:rFonts w:ascii="仿宋_GB2312" w:hAnsi="仿宋_GB2312" w:cs="仿宋_GB2312"/>
          <w:highlight w:val="none"/>
        </w:rPr>
      </w:pPr>
      <w:r>
        <w:rPr>
          <w:rFonts w:hint="eastAsia" w:ascii="仿宋_GB2312" w:hAnsi="仿宋_GB2312" w:cs="仿宋_GB2312"/>
          <w:highlight w:val="none"/>
          <w:lang w:val="en-US" w:eastAsia="zh-CN"/>
        </w:rPr>
        <w:t>该指标主要用于</w:t>
      </w:r>
      <w:r>
        <w:rPr>
          <w:rFonts w:hint="eastAsia" w:ascii="仿宋_GB2312" w:hAnsi="仿宋_GB2312" w:cs="仿宋_GB2312"/>
          <w:highlight w:val="none"/>
        </w:rPr>
        <w:t>评价项目制度办法是否体系健全、要素完备。</w:t>
      </w:r>
    </w:p>
    <w:p w14:paraId="32A3FF91">
      <w:pPr>
        <w:spacing w:line="590" w:lineRule="exact"/>
        <w:ind w:firstLine="640" w:firstLineChars="200"/>
        <w:rPr>
          <w:rFonts w:ascii="仿宋_GB2312" w:hAnsi="仿宋_GB2312" w:cs="仿宋_GB2312"/>
        </w:rPr>
      </w:pPr>
      <w:r>
        <w:rPr>
          <w:rFonts w:ascii="仿宋_GB2312" w:hAnsi="仿宋_GB2312" w:cs="仿宋_GB2312"/>
          <w:highlight w:val="none"/>
        </w:rPr>
        <w:t>评价结果：</w:t>
      </w:r>
      <w:r>
        <w:rPr>
          <w:rFonts w:hint="eastAsia" w:ascii="仿宋_GB2312" w:hAnsi="仿宋_GB2312" w:cs="仿宋_GB2312"/>
          <w:highlight w:val="none"/>
          <w:lang w:val="en-US" w:eastAsia="zh-CN"/>
        </w:rPr>
        <w:t>根据岳池县财政局 岳池县乡村振兴局 岳池县农业农村局关于印发《</w:t>
      </w:r>
      <w:r>
        <w:rPr>
          <w:rFonts w:hint="eastAsia" w:cs="Times New Roman"/>
          <w:szCs w:val="32"/>
          <w:lang w:val="en-US" w:eastAsia="zh-CN"/>
        </w:rPr>
        <w:t>岳池县县级财政衔接推进乡村振兴补助资金管理办法》的通知（岳财发〔2021〕74号）,该办法围绕资金使用、项目管理、部门职责、监督管理等维度作出了具体规定。</w:t>
      </w:r>
    </w:p>
    <w:p w14:paraId="48CBAA0A">
      <w:pPr>
        <w:spacing w:line="590" w:lineRule="exact"/>
        <w:ind w:firstLine="640" w:firstLineChars="200"/>
        <w:rPr>
          <w:rFonts w:hint="eastAsia" w:cs="Times New Roman"/>
          <w:szCs w:val="32"/>
          <w:lang w:val="en-US" w:eastAsia="zh-CN"/>
        </w:rPr>
      </w:pPr>
      <w:r>
        <w:rPr>
          <w:rFonts w:hint="eastAsia" w:cs="Times New Roman"/>
          <w:szCs w:val="32"/>
          <w:lang w:val="en-US" w:eastAsia="zh-CN"/>
        </w:rPr>
        <w:t>综上，该指标2分，评价得分2分。</w:t>
      </w:r>
    </w:p>
    <w:p w14:paraId="3260A6D1">
      <w:pPr>
        <w:spacing w:line="590" w:lineRule="exact"/>
        <w:ind w:firstLine="640" w:firstLineChars="200"/>
        <w:rPr>
          <w:rFonts w:ascii="仿宋_GB2312" w:hAnsi="仿宋_GB2312" w:cs="仿宋_GB2312"/>
        </w:rPr>
      </w:pPr>
      <w:r>
        <w:rPr>
          <w:rFonts w:hint="eastAsia" w:ascii="仿宋_GB2312" w:hAnsi="仿宋_GB2312" w:cs="仿宋_GB2312"/>
        </w:rPr>
        <w:t>②分配管理</w:t>
      </w:r>
    </w:p>
    <w:p w14:paraId="0E37FB58">
      <w:pPr>
        <w:spacing w:line="590" w:lineRule="exact"/>
        <w:ind w:firstLine="640" w:firstLineChars="200"/>
        <w:rPr>
          <w:rFonts w:hint="eastAsia" w:ascii="仿宋_GB2312" w:hAnsi="仿宋_GB2312" w:cs="仿宋_GB2312"/>
          <w:highlight w:val="none"/>
          <w:lang w:eastAsia="zh-CN"/>
        </w:rPr>
      </w:pPr>
      <w:r>
        <w:rPr>
          <w:rFonts w:hint="eastAsia" w:ascii="仿宋_GB2312" w:hAnsi="仿宋_GB2312" w:cs="仿宋_GB2312"/>
          <w:lang w:val="en-US" w:eastAsia="zh-CN"/>
        </w:rPr>
        <w:t>该指标主要</w:t>
      </w:r>
      <w:r>
        <w:rPr>
          <w:rFonts w:hint="eastAsia" w:ascii="仿宋_GB2312" w:hAnsi="仿宋_GB2312" w:cs="仿宋_GB2312"/>
          <w:highlight w:val="none"/>
          <w:lang w:val="en-US" w:eastAsia="zh-CN"/>
        </w:rPr>
        <w:t>用于</w:t>
      </w:r>
      <w:r>
        <w:rPr>
          <w:rFonts w:hint="eastAsia" w:ascii="仿宋_GB2312" w:hAnsi="仿宋_GB2312" w:cs="仿宋_GB2312"/>
          <w:highlight w:val="none"/>
        </w:rPr>
        <w:t>评价项目资金分配因素选取、权重设置、区域分布，项目管理、审批是否符合管理要求</w:t>
      </w:r>
      <w:r>
        <w:rPr>
          <w:rFonts w:hint="eastAsia" w:ascii="仿宋_GB2312" w:hAnsi="仿宋_GB2312" w:cs="仿宋_GB2312"/>
          <w:highlight w:val="none"/>
          <w:lang w:eastAsia="zh-CN"/>
        </w:rPr>
        <w:t>。</w:t>
      </w:r>
    </w:p>
    <w:p w14:paraId="0DA7AF88">
      <w:pPr>
        <w:spacing w:line="590" w:lineRule="exact"/>
        <w:ind w:firstLine="640" w:firstLineChars="200"/>
        <w:rPr>
          <w:rFonts w:hint="eastAsia" w:ascii="仿宋_GB2312" w:hAnsi="仿宋_GB2312" w:cs="仿宋_GB2312"/>
          <w:lang w:val="en-US" w:eastAsia="zh-CN"/>
        </w:rPr>
      </w:pPr>
      <w:r>
        <w:rPr>
          <w:rFonts w:hint="eastAsia" w:ascii="仿宋_GB2312" w:hAnsi="仿宋_GB2312" w:cs="仿宋_GB2312"/>
          <w:highlight w:val="none"/>
          <w:lang w:val="en-US" w:eastAsia="zh-CN"/>
        </w:rPr>
        <w:t>评价结果：根据现场评价情况，项目资金主</w:t>
      </w:r>
      <w:r>
        <w:rPr>
          <w:rFonts w:hint="eastAsia" w:ascii="仿宋_GB2312" w:hAnsi="仿宋_GB2312" w:cs="仿宋_GB2312"/>
          <w:lang w:val="en-US" w:eastAsia="zh-CN"/>
        </w:rPr>
        <w:t>要用于岳池县农业农村局</w:t>
      </w:r>
      <w:r>
        <w:rPr>
          <w:rFonts w:hint="eastAsia" w:ascii="Times New Roman" w:hAnsi="Times New Roman" w:cs="Times New Roman"/>
          <w:szCs w:val="32"/>
          <w:lang w:val="en-US" w:eastAsia="zh-CN"/>
        </w:rPr>
        <w:t>2025年乡村振兴衔接资金-开发式公岗</w:t>
      </w:r>
      <w:r>
        <w:rPr>
          <w:rFonts w:hint="eastAsia" w:cs="Times New Roman"/>
          <w:szCs w:val="32"/>
          <w:lang w:val="en-US" w:eastAsia="zh-CN"/>
        </w:rPr>
        <w:t>（第一批）</w:t>
      </w:r>
      <w:r>
        <w:rPr>
          <w:rFonts w:hint="eastAsia" w:ascii="Times New Roman" w:hAnsi="Times New Roman" w:cs="Times New Roman"/>
          <w:szCs w:val="32"/>
          <w:lang w:val="en-US" w:eastAsia="zh-CN"/>
        </w:rPr>
        <w:t>项目</w:t>
      </w:r>
      <w:r>
        <w:rPr>
          <w:rFonts w:hint="eastAsia" w:ascii="仿宋_GB2312" w:hAnsi="仿宋_GB2312" w:cs="仿宋_GB2312"/>
          <w:lang w:val="en-US" w:eastAsia="zh-CN"/>
        </w:rPr>
        <w:t>，依据项目内容据实分配。</w:t>
      </w:r>
    </w:p>
    <w:p w14:paraId="59EE1563">
      <w:pPr>
        <w:spacing w:line="590" w:lineRule="exact"/>
        <w:ind w:firstLine="640" w:firstLineChars="200"/>
        <w:rPr>
          <w:rFonts w:hint="eastAsia" w:ascii="仿宋_GB2312" w:hAnsi="仿宋_GB2312" w:cs="仿宋_GB2312"/>
          <w:lang w:val="en-US" w:eastAsia="zh-CN"/>
        </w:rPr>
      </w:pPr>
      <w:r>
        <w:rPr>
          <w:rFonts w:hint="eastAsia" w:ascii="仿宋_GB2312" w:hAnsi="仿宋_GB2312" w:cs="仿宋_GB2312"/>
          <w:highlight w:val="none"/>
          <w:lang w:val="en-US" w:eastAsia="zh-CN"/>
        </w:rPr>
        <w:t>根据现场评价情况，项目资金主</w:t>
      </w:r>
      <w:r>
        <w:rPr>
          <w:rFonts w:hint="eastAsia" w:ascii="仿宋_GB2312" w:hAnsi="仿宋_GB2312" w:cs="仿宋_GB2312"/>
          <w:lang w:val="en-US" w:eastAsia="zh-CN"/>
        </w:rPr>
        <w:t>要用于岳池县农业农村局</w:t>
      </w:r>
      <w:r>
        <w:rPr>
          <w:rFonts w:hint="eastAsia" w:ascii="Times New Roman" w:hAnsi="Times New Roman" w:cs="Times New Roman"/>
          <w:szCs w:val="32"/>
          <w:lang w:val="en-US" w:eastAsia="zh-CN"/>
        </w:rPr>
        <w:t>2025年乡村振兴衔接资金-开发式公岗</w:t>
      </w:r>
      <w:r>
        <w:rPr>
          <w:rFonts w:hint="eastAsia" w:cs="Times New Roman"/>
          <w:szCs w:val="32"/>
          <w:lang w:val="en-US" w:eastAsia="zh-CN"/>
        </w:rPr>
        <w:t>（第一批）</w:t>
      </w:r>
      <w:r>
        <w:rPr>
          <w:rFonts w:hint="eastAsia" w:ascii="Times New Roman" w:hAnsi="Times New Roman" w:cs="Times New Roman"/>
          <w:szCs w:val="32"/>
          <w:lang w:val="en-US" w:eastAsia="zh-CN"/>
        </w:rPr>
        <w:t>项目</w:t>
      </w:r>
      <w:r>
        <w:rPr>
          <w:rFonts w:hint="eastAsia" w:ascii="Times New Roman" w:hAnsi="Times New Roman" w:cs="Times New Roman"/>
          <w:szCs w:val="32"/>
          <w:highlight w:val="none"/>
          <w:lang w:val="en-US" w:eastAsia="zh-CN"/>
        </w:rPr>
        <w:t>补助</w:t>
      </w:r>
      <w:r>
        <w:rPr>
          <w:rFonts w:hint="eastAsia" w:ascii="仿宋_GB2312" w:hAnsi="仿宋_GB2312" w:cs="仿宋_GB2312"/>
          <w:lang w:val="en-US" w:eastAsia="zh-CN"/>
        </w:rPr>
        <w:t>，</w:t>
      </w:r>
      <w:r>
        <w:rPr>
          <w:rFonts w:hint="eastAsia" w:ascii="仿宋_GB2312" w:hAnsi="仿宋_GB2312" w:cs="仿宋_GB2312"/>
        </w:rPr>
        <w:t>资金分配</w:t>
      </w:r>
      <w:r>
        <w:rPr>
          <w:rFonts w:hint="eastAsia" w:ascii="仿宋_GB2312" w:hAnsi="仿宋_GB2312" w:cs="仿宋_GB2312"/>
          <w:lang w:val="en-US" w:eastAsia="zh-CN"/>
        </w:rPr>
        <w:t>采用因素法，充分考虑补助对象上岗情况，由乡镇核实报送、县农业农村局先核实再拨付的方式分配资金，</w:t>
      </w:r>
      <w:r>
        <w:rPr>
          <w:rFonts w:hint="eastAsia" w:ascii="仿宋_GB2312" w:hAnsi="仿宋_GB2312" w:cs="仿宋_GB2312"/>
        </w:rPr>
        <w:t>审批符合管理要求</w:t>
      </w:r>
      <w:r>
        <w:rPr>
          <w:rFonts w:hint="eastAsia" w:ascii="仿宋_GB2312" w:hAnsi="仿宋_GB2312" w:cs="仿宋_GB2312"/>
          <w:lang w:val="en-US" w:eastAsia="zh-CN"/>
        </w:rPr>
        <w:t>。</w:t>
      </w:r>
    </w:p>
    <w:p w14:paraId="07655262">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综上，该指标10分，评价得分10分。</w:t>
      </w:r>
    </w:p>
    <w:p w14:paraId="11B7228F">
      <w:pPr>
        <w:spacing w:line="590" w:lineRule="exact"/>
        <w:ind w:firstLine="640" w:firstLineChars="200"/>
        <w:outlineLvl w:val="2"/>
        <w:rPr>
          <w:rFonts w:hint="eastAsia" w:ascii="仿宋_GB2312" w:hAnsi="仿宋_GB2312" w:cs="仿宋_GB2312"/>
        </w:rPr>
      </w:pPr>
      <w:r>
        <w:rPr>
          <w:rFonts w:hint="default" w:ascii="仿宋_GB2312" w:hAnsi="仿宋_GB2312" w:cs="仿宋_GB2312"/>
        </w:rPr>
        <w:t>③绩效监管</w:t>
      </w:r>
    </w:p>
    <w:p w14:paraId="4A5A48DB">
      <w:pPr>
        <w:spacing w:line="590" w:lineRule="exact"/>
        <w:ind w:firstLine="640" w:firstLineChars="200"/>
        <w:outlineLvl w:val="2"/>
        <w:rPr>
          <w:rFonts w:hint="default" w:ascii="仿宋_GB2312" w:hAnsi="仿宋_GB2312" w:cs="仿宋_GB2312"/>
          <w:highlight w:val="yellow"/>
          <w:lang w:val="en-US" w:eastAsia="zh-CN"/>
        </w:rPr>
      </w:pPr>
      <w:r>
        <w:rPr>
          <w:rFonts w:hint="eastAsia" w:ascii="仿宋_GB2312" w:hAnsi="仿宋_GB2312" w:cs="仿宋_GB2312"/>
          <w:lang w:val="en-US" w:eastAsia="zh-CN"/>
        </w:rPr>
        <w:t>该指标主要用于</w:t>
      </w:r>
      <w:r>
        <w:rPr>
          <w:rFonts w:hint="eastAsia" w:ascii="仿宋_GB2312" w:hAnsi="仿宋_GB2312" w:cs="仿宋_GB2312"/>
        </w:rPr>
        <w:t>评价项目绩效监管是否按要求开展，对下指导是否有力有效</w:t>
      </w:r>
      <w:r>
        <w:rPr>
          <w:rFonts w:hint="eastAsia" w:ascii="仿宋_GB2312" w:hAnsi="仿宋_GB2312" w:cs="仿宋_GB2312"/>
          <w:lang w:eastAsia="zh-CN"/>
        </w:rPr>
        <w:t>。</w:t>
      </w:r>
    </w:p>
    <w:p w14:paraId="61B10B2B">
      <w:pPr>
        <w:spacing w:line="590" w:lineRule="exact"/>
        <w:ind w:firstLine="640" w:firstLineChars="200"/>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评价结果：2024年，岳池县农业农村局编制项目支出绩效目标申报表，完成事前绩效管理。岳池县农业农村局编制《绩效运行监控表》，完成事中绩效监控。2025年，岳池县农业农村局仅完成《绩效目标自评表》填报，未形成系统性的绩效自评报告，未能对项目成效、问题及改进方向进行文字化、体系化梳理，绩效自评工作存在完整性不足的问题。</w:t>
      </w:r>
    </w:p>
    <w:p w14:paraId="23A945E0">
      <w:pPr>
        <w:spacing w:line="590" w:lineRule="exact"/>
        <w:ind w:firstLine="640" w:firstLineChars="200"/>
        <w:rPr>
          <w:rFonts w:hint="eastAsia" w:ascii="Times New Roman" w:hAnsi="Times New Roman" w:cs="Times New Roman"/>
          <w:szCs w:val="32"/>
          <w:lang w:val="en-US" w:eastAsia="zh-CN"/>
        </w:rPr>
      </w:pPr>
      <w:bookmarkStart w:id="58" w:name="_Toc31555"/>
      <w:r>
        <w:rPr>
          <w:rFonts w:hint="eastAsia" w:ascii="Times New Roman" w:hAnsi="Times New Roman" w:cs="Times New Roman"/>
          <w:szCs w:val="32"/>
          <w:lang w:val="en-US" w:eastAsia="zh-CN"/>
        </w:rPr>
        <w:t>综上，该指标6分，评价得4分。</w:t>
      </w:r>
      <w:bookmarkEnd w:id="58"/>
    </w:p>
    <w:p w14:paraId="6D6CD1D8">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（3）项目实施指标分析（9分）</w:t>
      </w:r>
    </w:p>
    <w:p w14:paraId="6352A5A4">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“项目实施”从“预算执行”及“资金使用”2个三级指标进行评价。</w:t>
      </w:r>
    </w:p>
    <w:p w14:paraId="5B6F8A56">
      <w:pPr>
        <w:spacing w:line="590" w:lineRule="exact"/>
        <w:ind w:firstLine="640" w:firstLineChars="200"/>
        <w:rPr>
          <w:rFonts w:ascii="仿宋_GB2312" w:hAnsi="仿宋_GB2312" w:cs="仿宋_GB2312"/>
        </w:rPr>
      </w:pPr>
      <w:r>
        <w:rPr>
          <w:rFonts w:hint="eastAsia" w:ascii="仿宋_GB2312" w:hAnsi="仿宋_GB2312" w:cs="仿宋_GB2312"/>
        </w:rPr>
        <w:t>①预算执行</w:t>
      </w:r>
    </w:p>
    <w:p w14:paraId="4D8104CE">
      <w:pPr>
        <w:spacing w:line="590" w:lineRule="exact"/>
        <w:ind w:firstLine="640" w:firstLineChars="200"/>
        <w:rPr>
          <w:rFonts w:ascii="仿宋_GB2312" w:hAnsi="仿宋_GB2312" w:cs="仿宋_GB2312"/>
        </w:rPr>
      </w:pPr>
      <w:r>
        <w:rPr>
          <w:rFonts w:hint="eastAsia" w:ascii="仿宋_GB2312" w:hAnsi="仿宋_GB2312" w:cs="仿宋_GB2312"/>
          <w:lang w:val="en-US" w:eastAsia="zh-CN"/>
        </w:rPr>
        <w:t>该指标主要用于</w:t>
      </w:r>
      <w:r>
        <w:rPr>
          <w:rFonts w:hint="eastAsia" w:ascii="仿宋_GB2312" w:hAnsi="仿宋_GB2312" w:cs="仿宋_GB2312"/>
        </w:rPr>
        <w:t>评价项目资金财政拨付、单位执行和地方配套到位情况</w:t>
      </w:r>
      <w:r>
        <w:rPr>
          <w:rFonts w:hint="eastAsia" w:ascii="仿宋_GB2312" w:hAnsi="仿宋_GB2312" w:cs="仿宋_GB2312"/>
          <w:lang w:eastAsia="zh-CN"/>
        </w:rPr>
        <w:t>。</w:t>
      </w:r>
    </w:p>
    <w:p w14:paraId="7C907923">
      <w:pPr>
        <w:spacing w:line="600" w:lineRule="exact"/>
        <w:ind w:firstLine="640" w:firstLineChars="200"/>
        <w:rPr>
          <w:rFonts w:hint="default" w:ascii="仿宋_GB2312" w:hAnsi="仿宋_GB2312" w:cs="仿宋_GB2312"/>
          <w:highlight w:val="none"/>
          <w:lang w:val="en-US" w:eastAsia="zh-CN"/>
        </w:rPr>
      </w:pPr>
      <w:r>
        <w:rPr>
          <w:rFonts w:hint="eastAsia" w:cs="Times New Roman"/>
          <w:szCs w:val="32"/>
          <w:highlight w:val="none"/>
          <w:lang w:val="en-US" w:eastAsia="zh-CN"/>
        </w:rPr>
        <w:t>评价结果：2025年，岳池县财政局批复“2025年乡村振兴衔接资金-开发式公岗</w:t>
      </w:r>
      <w:r>
        <w:rPr>
          <w:rFonts w:hint="eastAsia" w:cs="Times New Roman"/>
          <w:szCs w:val="32"/>
          <w:lang w:val="en-US" w:eastAsia="zh-CN"/>
        </w:rPr>
        <w:t>（第一批）</w:t>
      </w:r>
      <w:r>
        <w:rPr>
          <w:rFonts w:hint="eastAsia" w:cs="Times New Roman"/>
          <w:szCs w:val="32"/>
          <w:highlight w:val="none"/>
          <w:lang w:val="en-US" w:eastAsia="zh-CN"/>
        </w:rPr>
        <w:t>”项目资金425万元，财政资金拨付率100%。截至2025年底，项目支出425</w:t>
      </w:r>
      <w:r>
        <w:rPr>
          <w:rFonts w:hint="eastAsia" w:ascii="Times New Roman" w:hAnsi="Times New Roman" w:cs="Times New Roman"/>
          <w:szCs w:val="32"/>
          <w:highlight w:val="none"/>
          <w:lang w:val="en-US" w:eastAsia="zh-CN"/>
        </w:rPr>
        <w:t>万元，预算执行率</w:t>
      </w:r>
      <w:r>
        <w:rPr>
          <w:rFonts w:hint="eastAsia" w:cs="Times New Roman"/>
          <w:szCs w:val="32"/>
          <w:highlight w:val="none"/>
          <w:lang w:val="en-US" w:eastAsia="zh-CN"/>
        </w:rPr>
        <w:t>100</w:t>
      </w:r>
      <w:r>
        <w:rPr>
          <w:rFonts w:hint="eastAsia" w:ascii="Times New Roman" w:hAnsi="Times New Roman" w:cs="Times New Roman"/>
          <w:szCs w:val="32"/>
          <w:highlight w:val="none"/>
          <w:lang w:val="en-US" w:eastAsia="zh-CN"/>
        </w:rPr>
        <w:t>%。</w:t>
      </w:r>
    </w:p>
    <w:p w14:paraId="18BE7AE2">
      <w:pPr>
        <w:spacing w:line="600" w:lineRule="exact"/>
        <w:ind w:firstLine="640" w:firstLineChars="200"/>
        <w:rPr>
          <w:rFonts w:hint="eastAsia" w:cs="Times New Roman"/>
          <w:szCs w:val="32"/>
          <w:highlight w:val="none"/>
          <w:lang w:val="en-US" w:eastAsia="zh-CN"/>
        </w:rPr>
      </w:pPr>
      <w:r>
        <w:rPr>
          <w:rFonts w:hint="eastAsia" w:cs="Times New Roman"/>
          <w:szCs w:val="32"/>
          <w:highlight w:val="none"/>
          <w:lang w:val="en-US" w:eastAsia="zh-CN"/>
        </w:rPr>
        <w:t>综上，该指标6分，评价得分6分。</w:t>
      </w:r>
    </w:p>
    <w:p w14:paraId="38F475D5">
      <w:pPr>
        <w:spacing w:line="590" w:lineRule="exact"/>
        <w:ind w:firstLine="640" w:firstLineChars="200"/>
        <w:rPr>
          <w:rFonts w:hint="eastAsia" w:ascii="仿宋_GB2312" w:hAnsi="仿宋_GB2312" w:cs="仿宋_GB2312"/>
        </w:rPr>
      </w:pPr>
      <w:r>
        <w:rPr>
          <w:rFonts w:hint="eastAsia" w:ascii="仿宋_GB2312" w:hAnsi="仿宋_GB2312" w:cs="仿宋_GB2312"/>
        </w:rPr>
        <w:t>②资金使用</w:t>
      </w:r>
    </w:p>
    <w:p w14:paraId="1B04FD23">
      <w:pPr>
        <w:spacing w:line="600" w:lineRule="exact"/>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该指标主要用于评价资金使用拨付、项目实施是否符合规定。</w:t>
      </w:r>
    </w:p>
    <w:p w14:paraId="4DCEE5D5">
      <w:pPr>
        <w:spacing w:line="600" w:lineRule="exact"/>
        <w:ind w:firstLine="640" w:firstLineChars="200"/>
        <w:rPr>
          <w:rFonts w:hint="default" w:ascii="仿宋_GB2312" w:hAnsi="仿宋_GB2312" w:cs="仿宋_GB2312"/>
          <w:lang w:val="en-US" w:eastAsia="zh-CN"/>
        </w:rPr>
      </w:pPr>
      <w:r>
        <w:rPr>
          <w:rFonts w:hint="eastAsia" w:ascii="仿宋_GB2312" w:hAnsi="仿宋_GB2312" w:cs="仿宋_GB2312"/>
          <w:lang w:val="en-US" w:eastAsia="zh-CN"/>
        </w:rPr>
        <w:t>评价结果：</w:t>
      </w:r>
      <w:r>
        <w:rPr>
          <w:rFonts w:hint="default" w:ascii="仿宋_GB2312" w:hAnsi="仿宋_GB2312" w:cs="仿宋_GB2312"/>
          <w:lang w:val="en-US" w:eastAsia="zh-CN"/>
        </w:rPr>
        <w:t>项目资金</w:t>
      </w:r>
      <w:r>
        <w:rPr>
          <w:rFonts w:hint="eastAsia" w:ascii="仿宋_GB2312" w:hAnsi="仿宋_GB2312" w:cs="仿宋_GB2312"/>
          <w:lang w:val="en-US" w:eastAsia="zh-CN"/>
        </w:rPr>
        <w:t>支付方式为主管部门划拨、乡镇代发。</w:t>
      </w:r>
      <w:r>
        <w:rPr>
          <w:rFonts w:hint="eastAsia" w:ascii="仿宋_GB2312" w:hAnsi="仿宋_GB2312" w:cs="仿宋_GB2312"/>
          <w:highlight w:val="none"/>
          <w:lang w:val="en-US" w:eastAsia="zh-CN"/>
        </w:rPr>
        <w:t>查看支付凭证，款项支付履行报账制，不存在</w:t>
      </w:r>
      <w:r>
        <w:rPr>
          <w:rFonts w:hint="default" w:ascii="仿宋_GB2312" w:hAnsi="仿宋_GB2312" w:cs="仿宋_GB2312"/>
          <w:highlight w:val="none"/>
          <w:lang w:val="en-US" w:eastAsia="zh-CN"/>
        </w:rPr>
        <w:t>资金损失浪费、长期沉淀</w:t>
      </w:r>
      <w:r>
        <w:rPr>
          <w:rFonts w:hint="eastAsia" w:ascii="仿宋_GB2312" w:hAnsi="仿宋_GB2312" w:cs="仿宋_GB2312"/>
          <w:highlight w:val="none"/>
          <w:lang w:val="en-US" w:eastAsia="zh-CN"/>
        </w:rPr>
        <w:t>的情况。</w:t>
      </w:r>
    </w:p>
    <w:p w14:paraId="0E7791F6">
      <w:pPr>
        <w:spacing w:line="600" w:lineRule="exact"/>
        <w:ind w:firstLine="640" w:firstLineChars="200"/>
        <w:rPr>
          <w:rFonts w:hint="default" w:cs="Times New Roman"/>
          <w:szCs w:val="32"/>
          <w:highlight w:val="none"/>
          <w:lang w:val="en-US" w:eastAsia="zh-CN"/>
        </w:rPr>
      </w:pPr>
      <w:r>
        <w:rPr>
          <w:rFonts w:hint="eastAsia" w:cs="Times New Roman"/>
          <w:szCs w:val="32"/>
          <w:highlight w:val="none"/>
          <w:lang w:val="en-US" w:eastAsia="zh-CN"/>
        </w:rPr>
        <w:t>综上，该指标3分，评价得分3分。</w:t>
      </w:r>
    </w:p>
    <w:p w14:paraId="1F05E6A0">
      <w:pPr>
        <w:spacing w:line="600" w:lineRule="exact"/>
        <w:ind w:firstLine="640" w:firstLineChars="200"/>
        <w:rPr>
          <w:rFonts w:hint="eastAsia" w:cs="Times New Roman"/>
          <w:szCs w:val="32"/>
          <w:highlight w:val="none"/>
          <w:lang w:val="en-US" w:eastAsia="zh-CN"/>
        </w:rPr>
      </w:pPr>
      <w:r>
        <w:rPr>
          <w:rFonts w:hint="eastAsia" w:cs="Times New Roman"/>
          <w:szCs w:val="32"/>
          <w:highlight w:val="none"/>
          <w:lang w:val="en-US" w:eastAsia="zh-CN"/>
        </w:rPr>
        <w:t>（4）项目结果指标分析（9分）</w:t>
      </w:r>
    </w:p>
    <w:p w14:paraId="77208523">
      <w:pPr>
        <w:spacing w:line="600" w:lineRule="exact"/>
        <w:ind w:firstLine="640" w:firstLineChars="200"/>
        <w:rPr>
          <w:rFonts w:hint="eastAsia" w:eastAsia="仿宋_GB2312"/>
          <w:lang w:eastAsia="zh-CN"/>
        </w:rPr>
      </w:pPr>
      <w:r>
        <w:rPr>
          <w:rFonts w:hint="eastAsia"/>
          <w:lang w:eastAsia="zh-CN"/>
        </w:rPr>
        <w:t>“</w:t>
      </w:r>
      <w:r>
        <w:rPr>
          <w:rFonts w:hint="eastAsia" w:ascii="仿宋_GB2312" w:hAnsi="仿宋_GB2312" w:cs="仿宋_GB2312"/>
        </w:rPr>
        <w:t>项目</w:t>
      </w:r>
      <w:r>
        <w:rPr>
          <w:rFonts w:hint="eastAsia" w:ascii="仿宋_GB2312" w:hAnsi="仿宋_GB2312" w:cs="仿宋_GB2312"/>
          <w:lang w:val="en-US" w:eastAsia="zh-CN"/>
        </w:rPr>
        <w:t>结果</w:t>
      </w:r>
      <w:r>
        <w:rPr>
          <w:rFonts w:hint="eastAsia"/>
          <w:lang w:eastAsia="zh-CN"/>
        </w:rPr>
        <w:t>”</w:t>
      </w:r>
      <w:r>
        <w:rPr>
          <w:rFonts w:hint="eastAsia"/>
          <w:lang w:val="en-US" w:eastAsia="zh-CN"/>
        </w:rPr>
        <w:t>从“目标完成”及“完成时效”</w:t>
      </w:r>
      <w:r>
        <w:rPr>
          <w:rFonts w:hint="eastAsia" w:ascii="仿宋_GB2312" w:hAnsi="仿宋_GB2312" w:cs="仿宋_GB2312"/>
          <w:lang w:val="en-US" w:eastAsia="zh-CN"/>
        </w:rPr>
        <w:t>2</w:t>
      </w:r>
      <w:r>
        <w:rPr>
          <w:rFonts w:ascii="仿宋_GB2312" w:hAnsi="仿宋_GB2312" w:cs="仿宋_GB2312"/>
        </w:rPr>
        <w:t>个三级指标进行评价</w:t>
      </w:r>
      <w:r>
        <w:rPr>
          <w:rFonts w:hint="eastAsia"/>
          <w:lang w:eastAsia="zh-CN"/>
        </w:rPr>
        <w:t>。</w:t>
      </w:r>
    </w:p>
    <w:p w14:paraId="2E67A567">
      <w:pPr>
        <w:spacing w:line="590" w:lineRule="exact"/>
        <w:ind w:firstLine="640" w:firstLineChars="200"/>
        <w:rPr>
          <w:rFonts w:hint="eastAsia"/>
          <w:lang w:val="en-US" w:eastAsia="zh-CN"/>
        </w:rPr>
      </w:pPr>
      <w:r>
        <w:rPr>
          <w:rFonts w:hint="eastAsia" w:ascii="仿宋_GB2312" w:hAnsi="仿宋_GB2312" w:cs="仿宋_GB2312"/>
        </w:rPr>
        <w:t>①</w:t>
      </w:r>
      <w:r>
        <w:rPr>
          <w:rFonts w:hint="eastAsia"/>
          <w:lang w:val="en-US" w:eastAsia="zh-CN"/>
        </w:rPr>
        <w:t>目标完成</w:t>
      </w:r>
    </w:p>
    <w:p w14:paraId="36110F92">
      <w:pPr>
        <w:spacing w:line="600" w:lineRule="exact"/>
        <w:ind w:firstLine="640" w:firstLineChars="200"/>
        <w:rPr>
          <w:rFonts w:hint="eastAsia" w:eastAsia="仿宋_GB2312"/>
          <w:lang w:eastAsia="zh-CN"/>
        </w:rPr>
      </w:pPr>
      <w:r>
        <w:rPr>
          <w:rFonts w:hint="eastAsia" w:ascii="仿宋_GB2312" w:hAnsi="仿宋_GB2312" w:cs="仿宋_GB2312"/>
          <w:lang w:val="en-US" w:eastAsia="zh-CN"/>
        </w:rPr>
        <w:t>该指</w:t>
      </w:r>
      <w:r>
        <w:rPr>
          <w:rFonts w:hint="eastAsia" w:eastAsia="仿宋_GB2312"/>
          <w:lang w:val="en-US" w:eastAsia="zh-CN"/>
        </w:rPr>
        <w:t>标主要用于</w:t>
      </w:r>
      <w:r>
        <w:rPr>
          <w:rFonts w:hint="eastAsia" w:eastAsia="仿宋_GB2312"/>
          <w:lang w:eastAsia="zh-CN"/>
        </w:rPr>
        <w:t>评价项目是否完成预期目标，实施结果是否与绩效目标相匹配，反映目标实现程度。</w:t>
      </w:r>
    </w:p>
    <w:p w14:paraId="792EA823">
      <w:pPr>
        <w:spacing w:line="600" w:lineRule="exact"/>
        <w:ind w:firstLine="640" w:firstLineChars="200"/>
        <w:rPr>
          <w:rFonts w:hint="eastAsia" w:eastAsia="仿宋_GB2312"/>
          <w:lang w:val="en-US" w:eastAsia="zh-CN"/>
        </w:rPr>
      </w:pPr>
      <w:r>
        <w:rPr>
          <w:rFonts w:hint="eastAsia" w:eastAsia="仿宋_GB2312"/>
          <w:lang w:val="en-US" w:eastAsia="zh-CN"/>
        </w:rPr>
        <w:t>评价结果：根据现场评价情况，绩效目标任务总量和实现情况如表3-3</w:t>
      </w:r>
      <w:r>
        <w:rPr>
          <w:rFonts w:hint="eastAsia"/>
          <w:lang w:val="en-US" w:eastAsia="zh-CN"/>
        </w:rPr>
        <w:t>：</w:t>
      </w:r>
    </w:p>
    <w:p w14:paraId="5528ED68">
      <w:pPr>
        <w:spacing w:line="590" w:lineRule="exact"/>
        <w:jc w:val="center"/>
        <w:rPr>
          <w:rFonts w:hint="default" w:ascii="仿宋" w:hAnsi="仿宋" w:eastAsia="仿宋" w:cs="Times New Roman"/>
          <w:b/>
          <w:bCs/>
          <w:kern w:val="2"/>
          <w:sz w:val="28"/>
          <w:szCs w:val="24"/>
          <w:lang w:val="en-US" w:eastAsia="zh-CN" w:bidi="ar-SA"/>
        </w:rPr>
      </w:pPr>
      <w:r>
        <w:rPr>
          <w:rFonts w:hint="eastAsia" w:ascii="仿宋" w:hAnsi="仿宋" w:eastAsia="仿宋" w:cs="Times New Roman"/>
          <w:b/>
          <w:bCs/>
          <w:kern w:val="2"/>
          <w:sz w:val="28"/>
          <w:szCs w:val="24"/>
          <w:lang w:val="en-US" w:eastAsia="zh-CN" w:bidi="ar-SA"/>
        </w:rPr>
        <w:t>表3-3  项目目标完成情况</w:t>
      </w: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80"/>
        <w:gridCol w:w="1879"/>
        <w:gridCol w:w="2056"/>
        <w:gridCol w:w="1907"/>
      </w:tblGrid>
      <w:tr w14:paraId="7248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A2F9A7">
            <w:pPr>
              <w:keepNext w:val="0"/>
              <w:keepLines w:val="0"/>
              <w:widowControl/>
              <w:suppressLineNumbers w:val="0"/>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数量指标名称</w:t>
            </w:r>
          </w:p>
        </w:tc>
        <w:tc>
          <w:tcPr>
            <w:tcW w:w="18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673503">
            <w:pPr>
              <w:keepNext w:val="0"/>
              <w:keepLines w:val="0"/>
              <w:widowControl/>
              <w:suppressLineNumbers w:val="0"/>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预期指标</w:t>
            </w:r>
          </w:p>
        </w:tc>
        <w:tc>
          <w:tcPr>
            <w:tcW w:w="20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7FCA24">
            <w:pPr>
              <w:keepNext w:val="0"/>
              <w:keepLines w:val="0"/>
              <w:widowControl/>
              <w:suppressLineNumbers w:val="0"/>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实际完成</w:t>
            </w:r>
          </w:p>
        </w:tc>
        <w:tc>
          <w:tcPr>
            <w:tcW w:w="190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222E19">
            <w:pPr>
              <w:keepNext w:val="0"/>
              <w:keepLines w:val="0"/>
              <w:widowControl/>
              <w:suppressLineNumbers w:val="0"/>
              <w:jc w:val="center"/>
              <w:textAlignment w:val="top"/>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008A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exact"/>
        </w:trPr>
        <w:tc>
          <w:tcPr>
            <w:tcW w:w="2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D847D9">
            <w:pPr>
              <w:keepNext w:val="0"/>
              <w:keepLines w:val="0"/>
              <w:widowControl/>
              <w:suppressLineNumbers w:val="0"/>
              <w:jc w:val="center"/>
              <w:textAlignment w:val="top"/>
              <w:rPr>
                <w:rFonts w:hint="default" w:ascii="仿宋_GB2312" w:hAnsi="宋体"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累计安置上岗人数</w:t>
            </w:r>
          </w:p>
        </w:tc>
        <w:tc>
          <w:tcPr>
            <w:tcW w:w="18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80A2C3">
            <w:pPr>
              <w:keepNext w:val="0"/>
              <w:keepLines w:val="0"/>
              <w:widowControl/>
              <w:suppressLineNumbers w:val="0"/>
              <w:jc w:val="center"/>
              <w:textAlignment w:val="top"/>
              <w:rPr>
                <w:rFonts w:hint="default" w:ascii="仿宋_GB2312" w:hAnsi="宋体"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3014人</w:t>
            </w:r>
          </w:p>
        </w:tc>
        <w:tc>
          <w:tcPr>
            <w:tcW w:w="20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9908EE">
            <w:pPr>
              <w:keepNext w:val="0"/>
              <w:keepLines w:val="0"/>
              <w:widowControl/>
              <w:suppressLineNumbers w:val="0"/>
              <w:jc w:val="center"/>
              <w:textAlignment w:val="top"/>
              <w:rPr>
                <w:rFonts w:hint="default" w:ascii="仿宋_GB2312" w:hAnsi="宋体"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3014人</w:t>
            </w:r>
          </w:p>
        </w:tc>
        <w:tc>
          <w:tcPr>
            <w:tcW w:w="190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6A448A">
            <w:pPr>
              <w:keepNext w:val="0"/>
              <w:keepLines w:val="0"/>
              <w:widowControl/>
              <w:suppressLineNumbers w:val="0"/>
              <w:jc w:val="center"/>
              <w:textAlignment w:val="top"/>
              <w:rPr>
                <w:rFonts w:hint="default" w:ascii="仿宋_GB2312" w:hAnsi="宋体" w:eastAsia="仿宋_GB2312" w:cs="仿宋_GB2312"/>
                <w:i w:val="0"/>
                <w:iCs w:val="0"/>
                <w:color w:val="000000"/>
                <w:kern w:val="0"/>
                <w:sz w:val="22"/>
                <w:szCs w:val="22"/>
                <w:u w:val="none"/>
                <w:lang w:val="en-US" w:eastAsia="zh-CN" w:bidi="ar"/>
              </w:rPr>
            </w:pPr>
          </w:p>
        </w:tc>
      </w:tr>
    </w:tbl>
    <w:p w14:paraId="3AE710FC">
      <w:pPr>
        <w:spacing w:line="590" w:lineRule="exact"/>
        <w:ind w:firstLine="640" w:firstLineChars="200"/>
        <w:rPr>
          <w:rFonts w:hint="eastAsia" w:ascii="仿宋_GB2312" w:hAnsi="仿宋_GB2312" w:cs="仿宋_GB2312"/>
        </w:rPr>
      </w:pPr>
      <w:r>
        <w:rPr>
          <w:rFonts w:ascii="仿宋_GB2312" w:hAnsi="仿宋_GB2312" w:cs="仿宋_GB2312"/>
        </w:rPr>
        <w:t>综上，该指标</w:t>
      </w:r>
      <w:r>
        <w:rPr>
          <w:rFonts w:hint="eastAsia" w:ascii="仿宋_GB2312" w:hAnsi="仿宋_GB2312" w:cs="仿宋_GB2312"/>
          <w:lang w:val="en-US" w:eastAsia="zh-CN"/>
        </w:rPr>
        <w:t>6</w:t>
      </w:r>
      <w:r>
        <w:rPr>
          <w:rFonts w:ascii="仿宋_GB2312" w:hAnsi="仿宋_GB2312" w:cs="仿宋_GB2312"/>
        </w:rPr>
        <w:t>分，评价得分</w:t>
      </w:r>
      <w:r>
        <w:rPr>
          <w:rFonts w:hint="eastAsia" w:ascii="仿宋_GB2312" w:hAnsi="仿宋_GB2312" w:cs="仿宋_GB2312"/>
          <w:highlight w:val="none"/>
          <w:lang w:val="en-US" w:eastAsia="zh-CN"/>
        </w:rPr>
        <w:t>6</w:t>
      </w:r>
      <w:r>
        <w:rPr>
          <w:rFonts w:ascii="仿宋_GB2312" w:hAnsi="仿宋_GB2312" w:cs="仿宋_GB2312"/>
        </w:rPr>
        <w:t>分。</w:t>
      </w:r>
    </w:p>
    <w:p w14:paraId="32A3C858">
      <w:pPr>
        <w:spacing w:line="590" w:lineRule="exact"/>
        <w:ind w:firstLine="640" w:firstLineChars="200"/>
        <w:rPr>
          <w:rFonts w:hint="eastAsia" w:ascii="仿宋_GB2312" w:hAnsi="仿宋_GB2312" w:cs="仿宋_GB2312"/>
        </w:rPr>
      </w:pPr>
      <w:r>
        <w:rPr>
          <w:rFonts w:hint="eastAsia" w:ascii="仿宋_GB2312" w:hAnsi="仿宋_GB2312" w:cs="仿宋_GB2312"/>
        </w:rPr>
        <w:t>②完成时效</w:t>
      </w:r>
    </w:p>
    <w:p w14:paraId="57E65CB5">
      <w:pPr>
        <w:spacing w:line="590" w:lineRule="exact"/>
        <w:ind w:firstLine="640" w:firstLineChars="200"/>
        <w:rPr>
          <w:rFonts w:hint="eastAsia" w:ascii="仿宋_GB2312" w:hAnsi="仿宋_GB2312" w:cs="仿宋_GB2312"/>
          <w:lang w:eastAsia="zh-CN"/>
        </w:rPr>
      </w:pPr>
      <w:r>
        <w:rPr>
          <w:rFonts w:hint="eastAsia" w:ascii="仿宋_GB2312" w:hAnsi="仿宋_GB2312" w:cs="仿宋_GB2312"/>
          <w:lang w:val="en-US" w:eastAsia="zh-CN"/>
        </w:rPr>
        <w:t>该指标主要用于</w:t>
      </w:r>
      <w:r>
        <w:rPr>
          <w:rFonts w:hint="eastAsia" w:ascii="仿宋_GB2312" w:hAnsi="仿宋_GB2312" w:cs="仿宋_GB2312"/>
        </w:rPr>
        <w:t>评价项目实际完成时间与计划完成时间的比较</w:t>
      </w:r>
      <w:r>
        <w:rPr>
          <w:rFonts w:hint="eastAsia" w:ascii="仿宋_GB2312" w:hAnsi="仿宋_GB2312" w:cs="仿宋_GB2312"/>
          <w:lang w:eastAsia="zh-CN"/>
        </w:rPr>
        <w:t>。</w:t>
      </w:r>
    </w:p>
    <w:p w14:paraId="6DFFA645">
      <w:pPr>
        <w:spacing w:line="590" w:lineRule="exact"/>
        <w:ind w:firstLine="640" w:firstLineChars="200"/>
        <w:rPr>
          <w:rFonts w:hint="default" w:ascii="仿宋_GB2312" w:hAnsi="仿宋_GB2312" w:cs="仿宋_GB2312"/>
          <w:lang w:val="en-US" w:eastAsia="zh-CN"/>
        </w:rPr>
      </w:pPr>
      <w:r>
        <w:rPr>
          <w:rFonts w:hint="eastAsia" w:ascii="仿宋_GB2312" w:hAnsi="仿宋_GB2312" w:cs="仿宋_GB2312"/>
          <w:lang w:val="en-US" w:eastAsia="zh-CN"/>
        </w:rPr>
        <w:t>评价结果：</w:t>
      </w:r>
      <w:r>
        <w:rPr>
          <w:rFonts w:hint="eastAsia" w:ascii="仿宋_GB2312" w:hAnsi="仿宋_GB2312" w:cs="仿宋_GB2312"/>
          <w:highlight w:val="none"/>
          <w:lang w:val="en-US" w:eastAsia="zh-CN"/>
        </w:rPr>
        <w:t>岳池县农业农村局在</w:t>
      </w:r>
      <w:r>
        <w:rPr>
          <w:rFonts w:hint="eastAsia" w:ascii="Times New Roman" w:hAnsi="Times New Roman" w:eastAsia="仿宋_GB2312" w:cs="Times New Roman"/>
          <w:b w:val="0"/>
          <w:kern w:val="2"/>
          <w:sz w:val="32"/>
          <w:szCs w:val="32"/>
          <w:highlight w:val="none"/>
          <w:lang w:val="en-US" w:eastAsia="zh-CN" w:bidi="ar-SA"/>
        </w:rPr>
        <w:t>2025年内累计拨付中央及省级财政衔接补助资金</w:t>
      </w:r>
      <w:r>
        <w:rPr>
          <w:rFonts w:hint="eastAsia" w:cs="Times New Roman"/>
          <w:b w:val="0"/>
          <w:kern w:val="2"/>
          <w:sz w:val="32"/>
          <w:szCs w:val="32"/>
          <w:highlight w:val="none"/>
          <w:lang w:val="en-US" w:eastAsia="zh-CN" w:bidi="ar-SA"/>
        </w:rPr>
        <w:t>425</w:t>
      </w:r>
      <w:r>
        <w:rPr>
          <w:rFonts w:hint="eastAsia" w:ascii="Times New Roman" w:hAnsi="Times New Roman" w:eastAsia="仿宋_GB2312" w:cs="Times New Roman"/>
          <w:b w:val="0"/>
          <w:kern w:val="2"/>
          <w:sz w:val="32"/>
          <w:szCs w:val="32"/>
          <w:highlight w:val="none"/>
          <w:lang w:val="en-US" w:eastAsia="zh-CN" w:bidi="ar-SA"/>
        </w:rPr>
        <w:t>万元，覆盖全县27个乡镇，累计安置上岗</w:t>
      </w:r>
      <w:r>
        <w:rPr>
          <w:rFonts w:hint="eastAsia" w:cs="Times New Roman"/>
          <w:b w:val="0"/>
          <w:kern w:val="2"/>
          <w:sz w:val="32"/>
          <w:szCs w:val="32"/>
          <w:highlight w:val="none"/>
          <w:lang w:val="en-US" w:eastAsia="zh-CN" w:bidi="ar-SA"/>
        </w:rPr>
        <w:t>3014</w:t>
      </w:r>
      <w:r>
        <w:rPr>
          <w:rFonts w:hint="eastAsia" w:ascii="Times New Roman" w:hAnsi="Times New Roman" w:eastAsia="仿宋_GB2312" w:cs="Times New Roman"/>
          <w:b w:val="0"/>
          <w:kern w:val="2"/>
          <w:sz w:val="32"/>
          <w:szCs w:val="32"/>
          <w:highlight w:val="none"/>
          <w:lang w:val="en-US" w:eastAsia="zh-CN" w:bidi="ar-SA"/>
        </w:rPr>
        <w:t>人，其中脱贫户</w:t>
      </w:r>
      <w:r>
        <w:rPr>
          <w:rFonts w:hint="eastAsia" w:cs="Times New Roman"/>
          <w:b w:val="0"/>
          <w:kern w:val="2"/>
          <w:sz w:val="32"/>
          <w:szCs w:val="32"/>
          <w:highlight w:val="none"/>
          <w:lang w:val="en-US" w:eastAsia="zh-CN" w:bidi="ar-SA"/>
        </w:rPr>
        <w:t>2796</w:t>
      </w:r>
      <w:r>
        <w:rPr>
          <w:rFonts w:hint="eastAsia" w:ascii="Times New Roman" w:hAnsi="Times New Roman" w:eastAsia="仿宋_GB2312" w:cs="Times New Roman"/>
          <w:b w:val="0"/>
          <w:kern w:val="2"/>
          <w:sz w:val="32"/>
          <w:szCs w:val="32"/>
          <w:highlight w:val="none"/>
          <w:lang w:val="en-US" w:eastAsia="zh-CN" w:bidi="ar-SA"/>
        </w:rPr>
        <w:t>人、监测户</w:t>
      </w:r>
      <w:r>
        <w:rPr>
          <w:rFonts w:hint="eastAsia" w:cs="Times New Roman"/>
          <w:b w:val="0"/>
          <w:kern w:val="2"/>
          <w:sz w:val="32"/>
          <w:szCs w:val="32"/>
          <w:highlight w:val="none"/>
          <w:lang w:val="en-US" w:eastAsia="zh-CN" w:bidi="ar-SA"/>
        </w:rPr>
        <w:t>218</w:t>
      </w:r>
      <w:r>
        <w:rPr>
          <w:rFonts w:hint="eastAsia" w:ascii="Times New Roman" w:hAnsi="Times New Roman" w:eastAsia="仿宋_GB2312" w:cs="Times New Roman"/>
          <w:b w:val="0"/>
          <w:kern w:val="2"/>
          <w:sz w:val="32"/>
          <w:szCs w:val="32"/>
          <w:highlight w:val="none"/>
          <w:lang w:val="en-US" w:eastAsia="zh-CN" w:bidi="ar-SA"/>
        </w:rPr>
        <w:t>人，脱贫户安置占比约</w:t>
      </w:r>
      <w:r>
        <w:rPr>
          <w:rFonts w:hint="eastAsia" w:cs="Times New Roman"/>
          <w:b w:val="0"/>
          <w:kern w:val="2"/>
          <w:sz w:val="32"/>
          <w:szCs w:val="32"/>
          <w:highlight w:val="none"/>
          <w:lang w:val="en-US" w:eastAsia="zh-CN" w:bidi="ar-SA"/>
        </w:rPr>
        <w:t>92.77</w:t>
      </w:r>
      <w:r>
        <w:rPr>
          <w:rFonts w:hint="eastAsia" w:ascii="Times New Roman" w:hAnsi="Times New Roman" w:eastAsia="仿宋_GB2312" w:cs="Times New Roman"/>
          <w:b w:val="0"/>
          <w:kern w:val="2"/>
          <w:sz w:val="32"/>
          <w:szCs w:val="32"/>
          <w:highlight w:val="none"/>
          <w:lang w:val="en-US" w:eastAsia="zh-CN" w:bidi="ar-SA"/>
        </w:rPr>
        <w:t>%，监测户占比约</w:t>
      </w:r>
      <w:r>
        <w:rPr>
          <w:rFonts w:hint="eastAsia" w:cs="Times New Roman"/>
          <w:b w:val="0"/>
          <w:kern w:val="2"/>
          <w:sz w:val="32"/>
          <w:szCs w:val="32"/>
          <w:highlight w:val="none"/>
          <w:lang w:val="en-US" w:eastAsia="zh-CN" w:bidi="ar-SA"/>
        </w:rPr>
        <w:t>7.23</w:t>
      </w:r>
      <w:r>
        <w:rPr>
          <w:rFonts w:hint="eastAsia" w:ascii="Times New Roman" w:hAnsi="Times New Roman" w:eastAsia="仿宋_GB2312" w:cs="Times New Roman"/>
          <w:b w:val="0"/>
          <w:kern w:val="2"/>
          <w:sz w:val="32"/>
          <w:szCs w:val="32"/>
          <w:highlight w:val="none"/>
          <w:lang w:val="en-US" w:eastAsia="zh-CN" w:bidi="ar-SA"/>
        </w:rPr>
        <w:t>%，</w:t>
      </w:r>
      <w:r>
        <w:rPr>
          <w:rFonts w:hint="eastAsia" w:cs="Times New Roman"/>
          <w:szCs w:val="32"/>
          <w:lang w:val="en-US" w:eastAsia="zh-CN"/>
        </w:rPr>
        <w:t>资金支付及时率100%</w:t>
      </w:r>
      <w:r>
        <w:rPr>
          <w:rFonts w:hint="eastAsia" w:ascii="仿宋_GB2312" w:hAnsi="仿宋_GB2312" w:cs="仿宋_GB2312"/>
          <w:highlight w:val="none"/>
          <w:lang w:val="en-US" w:eastAsia="zh-CN"/>
        </w:rPr>
        <w:t>。实际</w:t>
      </w:r>
      <w:r>
        <w:rPr>
          <w:rFonts w:hint="eastAsia" w:ascii="仿宋_GB2312" w:hAnsi="仿宋_GB2312" w:cs="仿宋_GB2312"/>
          <w:highlight w:val="none"/>
        </w:rPr>
        <w:t>实施结果与预期目标相符。</w:t>
      </w:r>
    </w:p>
    <w:p w14:paraId="0BE2B7B0">
      <w:pPr>
        <w:spacing w:line="590" w:lineRule="exact"/>
        <w:ind w:firstLine="640" w:firstLineChars="200"/>
        <w:rPr>
          <w:rFonts w:hint="eastAsia" w:cs="Times New Roman"/>
          <w:szCs w:val="32"/>
          <w:lang w:val="en-US" w:eastAsia="zh-CN"/>
        </w:rPr>
      </w:pPr>
      <w:r>
        <w:rPr>
          <w:rFonts w:hint="eastAsia" w:cs="Times New Roman"/>
          <w:szCs w:val="32"/>
          <w:lang w:val="en-US" w:eastAsia="zh-CN"/>
        </w:rPr>
        <w:t>综上，该指标3分，评价得分3分。</w:t>
      </w:r>
    </w:p>
    <w:p w14:paraId="19C2E233">
      <w:pPr>
        <w:spacing w:line="59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2.专用指标分析</w:t>
      </w:r>
    </w:p>
    <w:p w14:paraId="0140EF31">
      <w:pPr>
        <w:spacing w:line="600" w:lineRule="exact"/>
        <w:ind w:firstLine="640" w:firstLineChars="200"/>
        <w:rPr>
          <w:highlight w:val="none"/>
        </w:rPr>
      </w:pPr>
      <w:r>
        <w:rPr>
          <w:rFonts w:hint="eastAsia"/>
          <w:highlight w:val="none"/>
          <w:lang w:val="en-US" w:eastAsia="zh-CN"/>
        </w:rPr>
        <w:t>一</w:t>
      </w:r>
      <w:r>
        <w:rPr>
          <w:highlight w:val="none"/>
        </w:rPr>
        <w:t>级指标</w:t>
      </w:r>
      <w:r>
        <w:rPr>
          <w:rFonts w:hint="eastAsia"/>
          <w:highlight w:val="none"/>
          <w:lang w:eastAsia="zh-CN"/>
        </w:rPr>
        <w:t>“</w:t>
      </w:r>
      <w:r>
        <w:rPr>
          <w:rFonts w:hint="eastAsia" w:ascii="仿宋_GB2312" w:hAnsi="仿宋_GB2312" w:cs="仿宋_GB2312"/>
          <w:highlight w:val="none"/>
          <w:lang w:val="en-US" w:eastAsia="zh-CN"/>
        </w:rPr>
        <w:t>专用</w:t>
      </w:r>
      <w:r>
        <w:rPr>
          <w:rFonts w:hint="eastAsia" w:ascii="仿宋_GB2312" w:hAnsi="仿宋_GB2312" w:cs="仿宋_GB2312"/>
          <w:highlight w:val="none"/>
        </w:rPr>
        <w:t>指标</w:t>
      </w:r>
      <w:r>
        <w:rPr>
          <w:rFonts w:hint="eastAsia"/>
          <w:highlight w:val="none"/>
          <w:lang w:eastAsia="zh-CN"/>
        </w:rPr>
        <w:t>”</w:t>
      </w:r>
      <w:r>
        <w:rPr>
          <w:rFonts w:hint="eastAsia"/>
          <w:highlight w:val="none"/>
        </w:rPr>
        <w:t>赋分</w:t>
      </w:r>
      <w:r>
        <w:rPr>
          <w:rFonts w:hint="eastAsia"/>
          <w:highlight w:val="none"/>
          <w:lang w:val="en-US" w:eastAsia="zh-CN"/>
        </w:rPr>
        <w:t>30</w:t>
      </w:r>
      <w:r>
        <w:rPr>
          <w:highlight w:val="none"/>
        </w:rPr>
        <w:t>分，</w:t>
      </w:r>
      <w:r>
        <w:rPr>
          <w:rFonts w:hint="eastAsia"/>
          <w:highlight w:val="none"/>
          <w:lang w:eastAsia="zh-CN"/>
        </w:rPr>
        <w:t>下设</w:t>
      </w:r>
      <w:r>
        <w:rPr>
          <w:rFonts w:hint="eastAsia"/>
          <w:highlight w:val="none"/>
          <w:lang w:val="en-US" w:eastAsia="zh-CN"/>
        </w:rPr>
        <w:t>区域均衡性</w:t>
      </w:r>
      <w:r>
        <w:rPr>
          <w:rFonts w:hint="eastAsia"/>
          <w:highlight w:val="none"/>
        </w:rPr>
        <w:t>、</w:t>
      </w:r>
      <w:r>
        <w:rPr>
          <w:rFonts w:hint="eastAsia"/>
          <w:highlight w:val="none"/>
          <w:lang w:val="en-US" w:eastAsia="zh-CN"/>
        </w:rPr>
        <w:t>对象精准性</w:t>
      </w:r>
      <w:r>
        <w:rPr>
          <w:rFonts w:hint="eastAsia"/>
          <w:highlight w:val="none"/>
        </w:rPr>
        <w:t>、</w:t>
      </w:r>
      <w:r>
        <w:rPr>
          <w:rFonts w:hint="eastAsia"/>
          <w:highlight w:val="none"/>
          <w:lang w:val="en-US" w:eastAsia="zh-CN"/>
        </w:rPr>
        <w:t>标准合理性3</w:t>
      </w:r>
      <w:r>
        <w:rPr>
          <w:highlight w:val="none"/>
        </w:rPr>
        <w:t>个</w:t>
      </w:r>
      <w:r>
        <w:rPr>
          <w:rFonts w:hint="eastAsia"/>
          <w:highlight w:val="none"/>
          <w:lang w:val="en-US" w:eastAsia="zh-CN"/>
        </w:rPr>
        <w:t>三</w:t>
      </w:r>
      <w:r>
        <w:rPr>
          <w:highlight w:val="none"/>
        </w:rPr>
        <w:t>级指标</w:t>
      </w:r>
      <w:r>
        <w:rPr>
          <w:rFonts w:hint="eastAsia"/>
          <w:highlight w:val="none"/>
        </w:rPr>
        <w:t>，得分情况如表3-</w:t>
      </w:r>
      <w:r>
        <w:rPr>
          <w:rFonts w:hint="eastAsia"/>
          <w:highlight w:val="none"/>
          <w:lang w:val="en-US" w:eastAsia="zh-CN"/>
        </w:rPr>
        <w:t>4</w:t>
      </w:r>
      <w:r>
        <w:rPr>
          <w:rFonts w:hint="eastAsia"/>
          <w:highlight w:val="none"/>
        </w:rPr>
        <w:t>：</w:t>
      </w:r>
    </w:p>
    <w:p w14:paraId="27C48E80">
      <w:pPr>
        <w:pStyle w:val="14"/>
        <w:spacing w:after="0" w:line="590" w:lineRule="exact"/>
        <w:ind w:left="0" w:leftChars="0" w:firstLine="0" w:firstLineChars="0"/>
        <w:jc w:val="center"/>
        <w:rPr>
          <w:rFonts w:hint="eastAsia" w:ascii="仿宋" w:hAnsi="仿宋" w:eastAsia="仿宋" w:cs="Times New Roman"/>
          <w:b/>
          <w:bCs/>
          <w:kern w:val="2"/>
          <w:sz w:val="28"/>
          <w:szCs w:val="24"/>
          <w:highlight w:val="yellow"/>
          <w:lang w:val="en-US" w:eastAsia="zh-CN" w:bidi="ar-SA"/>
        </w:rPr>
      </w:pPr>
      <w:r>
        <w:rPr>
          <w:rFonts w:hint="eastAsia" w:ascii="仿宋" w:hAnsi="仿宋" w:eastAsia="仿宋" w:cs="Times New Roman"/>
          <w:b/>
          <w:bCs/>
          <w:kern w:val="2"/>
          <w:sz w:val="28"/>
          <w:szCs w:val="24"/>
          <w:highlight w:val="none"/>
          <w:lang w:val="en-US" w:eastAsia="zh-CN" w:bidi="ar-SA"/>
        </w:rPr>
        <w:t>表3-4  专用指标得分情况表</w:t>
      </w:r>
    </w:p>
    <w:tbl>
      <w:tblPr>
        <w:tblStyle w:val="15"/>
        <w:tblW w:w="8519" w:type="dxa"/>
        <w:tblInd w:w="0" w:type="dxa"/>
        <w:tblLayout w:type="fixed"/>
        <w:tblCellMar>
          <w:top w:w="0" w:type="dxa"/>
          <w:left w:w="108" w:type="dxa"/>
          <w:bottom w:w="0" w:type="dxa"/>
          <w:right w:w="108" w:type="dxa"/>
        </w:tblCellMar>
      </w:tblPr>
      <w:tblGrid>
        <w:gridCol w:w="1239"/>
        <w:gridCol w:w="2048"/>
        <w:gridCol w:w="1755"/>
        <w:gridCol w:w="1159"/>
        <w:gridCol w:w="1159"/>
        <w:gridCol w:w="1159"/>
      </w:tblGrid>
      <w:tr w14:paraId="3073630D">
        <w:tblPrEx>
          <w:tblCellMar>
            <w:top w:w="0" w:type="dxa"/>
            <w:left w:w="108" w:type="dxa"/>
            <w:bottom w:w="0" w:type="dxa"/>
            <w:right w:w="108" w:type="dxa"/>
          </w:tblCellMar>
        </w:tblPrEx>
        <w:trPr>
          <w:trHeight w:val="454" w:hRule="exact"/>
          <w:tblHeader/>
        </w:trPr>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2141">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一级指标</w:t>
            </w:r>
          </w:p>
        </w:tc>
        <w:tc>
          <w:tcPr>
            <w:tcW w:w="2048" w:type="dxa"/>
            <w:tcBorders>
              <w:top w:val="single" w:color="000000" w:sz="4" w:space="0"/>
              <w:left w:val="single" w:color="000000" w:sz="4" w:space="0"/>
              <w:bottom w:val="single" w:color="000000" w:sz="2" w:space="0"/>
              <w:right w:val="single" w:color="000000" w:sz="4" w:space="0"/>
            </w:tcBorders>
            <w:shd w:val="clear" w:color="auto" w:fill="auto"/>
            <w:vAlign w:val="center"/>
          </w:tcPr>
          <w:p w14:paraId="05B29BA2">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二级指标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179">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三级指标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DBE8">
            <w:pPr>
              <w:widowControl/>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kern w:val="0"/>
                <w:sz w:val="24"/>
                <w:szCs w:val="24"/>
                <w:lang w:val="en-US" w:eastAsia="zh-CN" w:bidi="ar"/>
              </w:rPr>
              <w:t>分值</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38A">
            <w:pPr>
              <w:widowControl/>
              <w:jc w:val="center"/>
              <w:textAlignment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得分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CA5F">
            <w:pPr>
              <w:widowControl/>
              <w:jc w:val="center"/>
              <w:textAlignment w:val="center"/>
              <w:rPr>
                <w:rFonts w:hint="eastAsia" w:ascii="黑体" w:hAnsi="黑体" w:eastAsia="黑体" w:cs="黑体"/>
                <w:b w:val="0"/>
                <w:bCs w:val="0"/>
                <w:color w:val="000000"/>
                <w:sz w:val="24"/>
                <w:szCs w:val="24"/>
                <w:highlight w:val="green"/>
                <w:lang w:val="en-US" w:eastAsia="zh-CN"/>
              </w:rPr>
            </w:pPr>
            <w:r>
              <w:rPr>
                <w:rFonts w:hint="eastAsia" w:ascii="黑体" w:hAnsi="黑体" w:eastAsia="黑体" w:cs="黑体"/>
                <w:b w:val="0"/>
                <w:bCs w:val="0"/>
                <w:color w:val="000000"/>
                <w:kern w:val="0"/>
                <w:sz w:val="24"/>
                <w:szCs w:val="24"/>
                <w:lang w:val="en-US" w:eastAsia="zh-CN" w:bidi="ar"/>
              </w:rPr>
              <w:t>得分率</w:t>
            </w:r>
          </w:p>
        </w:tc>
      </w:tr>
      <w:tr w14:paraId="79D2028C">
        <w:tblPrEx>
          <w:tblCellMar>
            <w:top w:w="0" w:type="dxa"/>
            <w:left w:w="108" w:type="dxa"/>
            <w:bottom w:w="0" w:type="dxa"/>
            <w:right w:w="108" w:type="dxa"/>
          </w:tblCellMar>
        </w:tblPrEx>
        <w:trPr>
          <w:trHeight w:val="454" w:hRule="exact"/>
        </w:trPr>
        <w:tc>
          <w:tcPr>
            <w:tcW w:w="1239" w:type="dxa"/>
            <w:vMerge w:val="restart"/>
            <w:tcBorders>
              <w:top w:val="single" w:color="000000" w:sz="4" w:space="0"/>
              <w:left w:val="single" w:color="000000" w:sz="4" w:space="0"/>
              <w:right w:val="single" w:color="000000" w:sz="2" w:space="0"/>
            </w:tcBorders>
            <w:shd w:val="clear" w:color="auto" w:fill="auto"/>
            <w:vAlign w:val="center"/>
          </w:tcPr>
          <w:p w14:paraId="6E8D5617">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专用指标（30分）</w:t>
            </w:r>
          </w:p>
        </w:tc>
        <w:tc>
          <w:tcPr>
            <w:tcW w:w="2048" w:type="dxa"/>
            <w:vMerge w:val="restart"/>
            <w:tcBorders>
              <w:top w:val="single" w:color="000000" w:sz="2" w:space="0"/>
              <w:left w:val="single" w:color="000000" w:sz="2" w:space="0"/>
              <w:right w:val="single" w:color="000000" w:sz="2" w:space="0"/>
            </w:tcBorders>
            <w:shd w:val="clear" w:color="auto" w:fill="auto"/>
            <w:vAlign w:val="center"/>
          </w:tcPr>
          <w:p w14:paraId="4B441724">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民生保障</w:t>
            </w:r>
          </w:p>
          <w:p w14:paraId="1498A1E4">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（30分）</w:t>
            </w:r>
          </w:p>
        </w:tc>
        <w:tc>
          <w:tcPr>
            <w:tcW w:w="1755" w:type="dxa"/>
            <w:tcBorders>
              <w:top w:val="single" w:color="000000" w:sz="4" w:space="0"/>
              <w:left w:val="single" w:color="000000" w:sz="2" w:space="0"/>
              <w:bottom w:val="single" w:color="000000" w:sz="4" w:space="0"/>
              <w:right w:val="single" w:color="000000" w:sz="4" w:space="0"/>
            </w:tcBorders>
            <w:shd w:val="clear" w:color="auto" w:fill="auto"/>
            <w:vAlign w:val="center"/>
          </w:tcPr>
          <w:p w14:paraId="2D0F3044">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区域均衡性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0FE1">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9F5">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5BF">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100.00%</w:t>
            </w:r>
          </w:p>
        </w:tc>
      </w:tr>
      <w:tr w14:paraId="1FA661EF">
        <w:tblPrEx>
          <w:tblCellMar>
            <w:top w:w="0" w:type="dxa"/>
            <w:left w:w="108" w:type="dxa"/>
            <w:bottom w:w="0" w:type="dxa"/>
            <w:right w:w="108" w:type="dxa"/>
          </w:tblCellMar>
        </w:tblPrEx>
        <w:trPr>
          <w:trHeight w:val="454" w:hRule="exact"/>
        </w:trPr>
        <w:tc>
          <w:tcPr>
            <w:tcW w:w="1239" w:type="dxa"/>
            <w:vMerge w:val="continue"/>
            <w:tcBorders>
              <w:left w:val="single" w:color="000000" w:sz="4" w:space="0"/>
              <w:right w:val="single" w:color="000000" w:sz="2" w:space="0"/>
            </w:tcBorders>
            <w:shd w:val="clear" w:color="auto" w:fill="auto"/>
            <w:vAlign w:val="center"/>
          </w:tcPr>
          <w:p w14:paraId="5946DC73">
            <w:pPr>
              <w:jc w:val="center"/>
              <w:rPr>
                <w:rFonts w:ascii="宋体" w:hAnsi="宋体" w:eastAsia="宋体" w:cs="宋体"/>
                <w:color w:val="000000"/>
                <w:sz w:val="22"/>
                <w:szCs w:val="22"/>
              </w:rPr>
            </w:pPr>
          </w:p>
        </w:tc>
        <w:tc>
          <w:tcPr>
            <w:tcW w:w="2048" w:type="dxa"/>
            <w:vMerge w:val="continue"/>
            <w:tcBorders>
              <w:left w:val="single" w:color="000000" w:sz="2" w:space="0"/>
              <w:right w:val="single" w:color="000000" w:sz="2" w:space="0"/>
            </w:tcBorders>
            <w:shd w:val="clear" w:color="auto" w:fill="auto"/>
            <w:vAlign w:val="center"/>
          </w:tcPr>
          <w:p w14:paraId="5E43854D">
            <w:pPr>
              <w:jc w:val="center"/>
              <w:rPr>
                <w:rFonts w:ascii="宋体" w:hAnsi="宋体" w:eastAsia="宋体" w:cs="宋体"/>
                <w:color w:val="000000"/>
                <w:sz w:val="22"/>
                <w:szCs w:val="22"/>
              </w:rPr>
            </w:pPr>
          </w:p>
        </w:tc>
        <w:tc>
          <w:tcPr>
            <w:tcW w:w="1755" w:type="dxa"/>
            <w:tcBorders>
              <w:top w:val="single" w:color="000000" w:sz="4" w:space="0"/>
              <w:left w:val="single" w:color="000000" w:sz="2" w:space="0"/>
              <w:bottom w:val="single" w:color="000000" w:sz="4" w:space="0"/>
              <w:right w:val="single" w:color="000000" w:sz="4" w:space="0"/>
            </w:tcBorders>
            <w:shd w:val="clear" w:color="auto" w:fill="auto"/>
            <w:vAlign w:val="center"/>
          </w:tcPr>
          <w:p w14:paraId="417847DB">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对象精准性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0E6F">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1122">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4E49">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100.00%</w:t>
            </w:r>
          </w:p>
        </w:tc>
      </w:tr>
      <w:tr w14:paraId="678B4BBE">
        <w:tblPrEx>
          <w:tblCellMar>
            <w:top w:w="0" w:type="dxa"/>
            <w:left w:w="108" w:type="dxa"/>
            <w:bottom w:w="0" w:type="dxa"/>
            <w:right w:w="108" w:type="dxa"/>
          </w:tblCellMar>
        </w:tblPrEx>
        <w:trPr>
          <w:trHeight w:val="454" w:hRule="exact"/>
        </w:trPr>
        <w:tc>
          <w:tcPr>
            <w:tcW w:w="1239" w:type="dxa"/>
            <w:vMerge w:val="continue"/>
            <w:tcBorders>
              <w:left w:val="single" w:color="000000" w:sz="4" w:space="0"/>
              <w:right w:val="single" w:color="000000" w:sz="2" w:space="0"/>
            </w:tcBorders>
            <w:shd w:val="clear" w:color="auto" w:fill="auto"/>
            <w:vAlign w:val="center"/>
          </w:tcPr>
          <w:p w14:paraId="3CC95BA2">
            <w:pPr>
              <w:jc w:val="center"/>
              <w:rPr>
                <w:rFonts w:ascii="宋体" w:hAnsi="宋体" w:eastAsia="宋体" w:cs="宋体"/>
                <w:color w:val="000000"/>
                <w:sz w:val="22"/>
                <w:szCs w:val="22"/>
              </w:rPr>
            </w:pPr>
          </w:p>
        </w:tc>
        <w:tc>
          <w:tcPr>
            <w:tcW w:w="2048" w:type="dxa"/>
            <w:vMerge w:val="continue"/>
            <w:tcBorders>
              <w:left w:val="single" w:color="000000" w:sz="2" w:space="0"/>
              <w:bottom w:val="single" w:color="000000" w:sz="2" w:space="0"/>
              <w:right w:val="single" w:color="000000" w:sz="2" w:space="0"/>
            </w:tcBorders>
            <w:shd w:val="clear" w:color="auto" w:fill="auto"/>
            <w:vAlign w:val="center"/>
          </w:tcPr>
          <w:p w14:paraId="43CBE0EF">
            <w:pPr>
              <w:widowControl/>
              <w:jc w:val="center"/>
              <w:textAlignment w:val="center"/>
              <w:rPr>
                <w:rFonts w:ascii="宋体" w:hAnsi="宋体" w:eastAsia="宋体" w:cs="宋体"/>
                <w:color w:val="000000"/>
                <w:sz w:val="22"/>
                <w:szCs w:val="22"/>
              </w:rPr>
            </w:pPr>
          </w:p>
        </w:tc>
        <w:tc>
          <w:tcPr>
            <w:tcW w:w="1755" w:type="dxa"/>
            <w:tcBorders>
              <w:top w:val="single" w:color="000000" w:sz="4" w:space="0"/>
              <w:left w:val="single" w:color="000000" w:sz="2" w:space="0"/>
              <w:bottom w:val="single" w:color="000000" w:sz="4" w:space="0"/>
              <w:right w:val="single" w:color="000000" w:sz="4" w:space="0"/>
            </w:tcBorders>
            <w:shd w:val="clear" w:color="auto" w:fill="auto"/>
            <w:vAlign w:val="center"/>
          </w:tcPr>
          <w:p w14:paraId="205A5017">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标准合理性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DEAA">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249">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sz w:val="22"/>
                <w:szCs w:val="22"/>
                <w:highlight w:val="no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0FE2">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100.00%</w:t>
            </w:r>
          </w:p>
        </w:tc>
      </w:tr>
      <w:tr w14:paraId="39665756">
        <w:tblPrEx>
          <w:tblCellMar>
            <w:top w:w="0" w:type="dxa"/>
            <w:left w:w="108" w:type="dxa"/>
            <w:bottom w:w="0" w:type="dxa"/>
            <w:right w:w="108" w:type="dxa"/>
          </w:tblCellMar>
        </w:tblPrEx>
        <w:trPr>
          <w:trHeight w:val="454" w:hRule="exact"/>
        </w:trPr>
        <w:tc>
          <w:tcPr>
            <w:tcW w:w="5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80B2C">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sz w:val="22"/>
                <w:szCs w:val="22"/>
                <w:lang w:val="en-US" w:eastAsia="zh-CN"/>
              </w:rPr>
              <w:t>合计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B8D2">
            <w:pPr>
              <w:widowControl/>
              <w:jc w:val="center"/>
              <w:textAlignment w:val="center"/>
              <w:rPr>
                <w:rFonts w:hint="default" w:ascii="宋体" w:hAnsi="宋体" w:eastAsia="宋体" w:cs="宋体"/>
                <w:b/>
                <w:bCs/>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F153">
            <w:pPr>
              <w:widowControl/>
              <w:jc w:val="center"/>
              <w:textAlignment w:val="center"/>
              <w:rPr>
                <w:rFonts w:hint="default" w:ascii="宋体" w:hAnsi="宋体" w:eastAsia="宋体" w:cs="宋体"/>
                <w:b/>
                <w:bCs/>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7194">
            <w:pPr>
              <w:widowControl/>
              <w:jc w:val="center"/>
              <w:textAlignment w:val="center"/>
              <w:rPr>
                <w:rFonts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100.00%</w:t>
            </w:r>
          </w:p>
        </w:tc>
      </w:tr>
    </w:tbl>
    <w:p w14:paraId="7EF5B221">
      <w:pPr>
        <w:spacing w:line="600" w:lineRule="exact"/>
        <w:ind w:firstLine="640" w:firstLineChars="200"/>
        <w:rPr>
          <w:rFonts w:hint="eastAsia"/>
          <w:highlight w:val="none"/>
          <w:lang w:val="en-US" w:eastAsia="zh-CN"/>
        </w:rPr>
      </w:pPr>
      <w:r>
        <w:rPr>
          <w:rFonts w:hint="eastAsia"/>
          <w:highlight w:val="none"/>
          <w:lang w:val="en-US" w:eastAsia="zh-CN"/>
        </w:rPr>
        <w:t>（1）区域均衡性（10分）</w:t>
      </w:r>
    </w:p>
    <w:p w14:paraId="7D6CE74E">
      <w:pPr>
        <w:spacing w:line="600" w:lineRule="exact"/>
        <w:ind w:firstLine="640" w:firstLineChars="200"/>
        <w:rPr>
          <w:rFonts w:hint="eastAsia"/>
          <w:highlight w:val="none"/>
          <w:lang w:val="en-US" w:eastAsia="zh-CN"/>
        </w:rPr>
      </w:pPr>
      <w:r>
        <w:rPr>
          <w:rFonts w:hint="eastAsia"/>
          <w:highlight w:val="none"/>
          <w:lang w:val="en-US" w:eastAsia="zh-CN"/>
        </w:rPr>
        <w:t>该指标评价项目资金分配体现的均衡公平情况。</w:t>
      </w:r>
    </w:p>
    <w:p w14:paraId="164D0CFC">
      <w:pPr>
        <w:spacing w:line="600" w:lineRule="exact"/>
        <w:ind w:firstLine="640" w:firstLineChars="200"/>
        <w:rPr>
          <w:rFonts w:hint="eastAsia"/>
          <w:highlight w:val="none"/>
          <w:lang w:val="en-US" w:eastAsia="zh-CN"/>
        </w:rPr>
      </w:pPr>
      <w:r>
        <w:rPr>
          <w:rFonts w:hint="eastAsia"/>
          <w:highlight w:val="none"/>
          <w:lang w:val="en-US" w:eastAsia="zh-CN"/>
        </w:rPr>
        <w:t>评价结果：根据《关于落实2025年开发式公益岗位的补充通知》，结合各乡镇（街道）脱贫人口与监测对象数量、往年岗位需求，在前期资金分配基础上补充分配岗位资金，涉及27个乡镇（街道），不具有排他性，确保补助资金分配的均衡与公平。补助情况详见表3-5：</w:t>
      </w:r>
    </w:p>
    <w:p w14:paraId="3DFD0294">
      <w:pPr>
        <w:spacing w:line="590" w:lineRule="exact"/>
        <w:ind w:firstLine="560" w:firstLineChars="200"/>
        <w:rPr>
          <w:rFonts w:hint="eastAsia" w:ascii="仿宋_GB2312" w:hAnsi="仿宋_GB2312" w:cs="仿宋_GB2312"/>
          <w:lang w:val="en-US" w:eastAsia="zh-CN"/>
        </w:rPr>
      </w:pPr>
      <w:r>
        <w:rPr>
          <w:rFonts w:hint="eastAsia" w:cs="Times New Roman"/>
          <w:sz w:val="28"/>
          <w:szCs w:val="28"/>
          <w:lang w:val="en-US" w:eastAsia="zh-CN"/>
        </w:rPr>
        <w:t>表3-5   岳池县2025开发式公岗统计汇总表（第一批）</w:t>
      </w:r>
    </w:p>
    <w:tbl>
      <w:tblPr>
        <w:tblStyle w:val="15"/>
        <w:tblW w:w="82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74"/>
        <w:gridCol w:w="1761"/>
        <w:gridCol w:w="1187"/>
        <w:gridCol w:w="1291"/>
        <w:gridCol w:w="1865"/>
      </w:tblGrid>
      <w:tr w14:paraId="1F05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A53B">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C0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乡镇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50B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开发式公益性岗位共计人数（人）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3C3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脱贫户（人口数）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513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监测户（人口数）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8DA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共计金额（万元）</w:t>
            </w:r>
          </w:p>
        </w:tc>
      </w:tr>
      <w:tr w14:paraId="6997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B762">
            <w:pPr>
              <w:keepNext w:val="0"/>
              <w:keepLines w:val="0"/>
              <w:widowControl/>
              <w:suppressLineNumbers w:val="0"/>
              <w:jc w:val="center"/>
              <w:textAlignment w:val="center"/>
              <w:rPr>
                <w:rFonts w:hint="eastAsia" w:cs="Times New Roman"/>
                <w:b/>
                <w:bCs/>
                <w:sz w:val="21"/>
                <w:szCs w:val="21"/>
                <w:lang w:val="en-US" w:eastAsia="zh-CN"/>
              </w:rPr>
            </w:pPr>
            <w:r>
              <w:rPr>
                <w:rFonts w:hint="eastAsia" w:cs="Times New Roman"/>
                <w:b/>
                <w:bCs/>
                <w:sz w:val="21"/>
                <w:szCs w:val="21"/>
                <w:lang w:val="en-US" w:eastAsia="zh-CN"/>
              </w:rPr>
              <w:t>合计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8598">
            <w:pPr>
              <w:keepNext w:val="0"/>
              <w:keepLines w:val="0"/>
              <w:widowControl/>
              <w:suppressLineNumbers w:val="0"/>
              <w:jc w:val="center"/>
              <w:textAlignment w:val="center"/>
              <w:rPr>
                <w:rFonts w:hint="eastAsia" w:cs="Times New Roman"/>
                <w:b/>
                <w:bCs/>
                <w:sz w:val="21"/>
                <w:szCs w:val="21"/>
                <w:lang w:val="en-US" w:eastAsia="zh-CN"/>
              </w:rPr>
            </w:pPr>
            <w:r>
              <w:rPr>
                <w:rFonts w:hint="eastAsia" w:cs="Times New Roman"/>
                <w:b/>
                <w:bCs/>
                <w:sz w:val="21"/>
                <w:szCs w:val="21"/>
                <w:lang w:val="en-US" w:eastAsia="zh-CN"/>
              </w:rPr>
              <w:t>27</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210A">
            <w:pPr>
              <w:keepNext w:val="0"/>
              <w:keepLines w:val="0"/>
              <w:widowControl/>
              <w:suppressLineNumbers w:val="0"/>
              <w:jc w:val="center"/>
              <w:textAlignment w:val="center"/>
              <w:rPr>
                <w:rFonts w:hint="eastAsia" w:cs="Times New Roman"/>
                <w:b/>
                <w:bCs/>
                <w:sz w:val="21"/>
                <w:szCs w:val="21"/>
                <w:lang w:val="en-US" w:eastAsia="zh-CN"/>
              </w:rPr>
            </w:pPr>
            <w:r>
              <w:rPr>
                <w:rFonts w:hint="eastAsia" w:cs="Times New Roman"/>
                <w:b/>
                <w:bCs/>
                <w:sz w:val="21"/>
                <w:szCs w:val="21"/>
                <w:lang w:val="en-US" w:eastAsia="zh-CN"/>
              </w:rPr>
              <w:t>3014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FCA7">
            <w:pPr>
              <w:keepNext w:val="0"/>
              <w:keepLines w:val="0"/>
              <w:widowControl/>
              <w:suppressLineNumbers w:val="0"/>
              <w:jc w:val="center"/>
              <w:textAlignment w:val="center"/>
              <w:rPr>
                <w:rFonts w:hint="eastAsia" w:cs="Times New Roman"/>
                <w:b/>
                <w:bCs/>
                <w:sz w:val="21"/>
                <w:szCs w:val="21"/>
                <w:lang w:val="en-US" w:eastAsia="zh-CN"/>
              </w:rPr>
            </w:pPr>
            <w:r>
              <w:rPr>
                <w:rFonts w:hint="eastAsia" w:cs="Times New Roman"/>
                <w:b/>
                <w:bCs/>
                <w:sz w:val="21"/>
                <w:szCs w:val="21"/>
                <w:lang w:val="en-US" w:eastAsia="zh-CN"/>
              </w:rPr>
              <w:t>2796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E72">
            <w:pPr>
              <w:keepNext w:val="0"/>
              <w:keepLines w:val="0"/>
              <w:widowControl/>
              <w:suppressLineNumbers w:val="0"/>
              <w:jc w:val="center"/>
              <w:textAlignment w:val="center"/>
              <w:rPr>
                <w:rFonts w:hint="eastAsia" w:cs="Times New Roman"/>
                <w:b/>
                <w:bCs/>
                <w:sz w:val="21"/>
                <w:szCs w:val="21"/>
                <w:lang w:val="en-US" w:eastAsia="zh-CN"/>
              </w:rPr>
            </w:pPr>
            <w:r>
              <w:rPr>
                <w:rFonts w:hint="eastAsia" w:cs="Times New Roman"/>
                <w:b/>
                <w:bCs/>
                <w:sz w:val="21"/>
                <w:szCs w:val="21"/>
                <w:lang w:val="en-US" w:eastAsia="zh-CN"/>
              </w:rPr>
              <w:t>218</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8339">
            <w:pPr>
              <w:keepNext w:val="0"/>
              <w:keepLines w:val="0"/>
              <w:widowControl/>
              <w:suppressLineNumbers w:val="0"/>
              <w:jc w:val="center"/>
              <w:textAlignment w:val="center"/>
              <w:rPr>
                <w:rFonts w:hint="eastAsia" w:cs="Times New Roman"/>
                <w:b/>
                <w:bCs/>
                <w:sz w:val="21"/>
                <w:szCs w:val="21"/>
                <w:lang w:val="en-US" w:eastAsia="zh-CN"/>
              </w:rPr>
            </w:pPr>
            <w:r>
              <w:rPr>
                <w:rFonts w:hint="eastAsia" w:cs="Times New Roman"/>
                <w:b/>
                <w:bCs/>
                <w:sz w:val="21"/>
                <w:szCs w:val="21"/>
                <w:lang w:val="en-US" w:eastAsia="zh-CN"/>
              </w:rPr>
              <w:t xml:space="preserve">346.95 </w:t>
            </w:r>
          </w:p>
        </w:tc>
      </w:tr>
      <w:tr w14:paraId="48CA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286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2F8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白庙镇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A88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10D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691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18</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902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27.50 </w:t>
            </w:r>
          </w:p>
        </w:tc>
      </w:tr>
      <w:tr w14:paraId="58DF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2CA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F97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朝阳街道办</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E94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121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E58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A22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CD7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14.35 </w:t>
            </w:r>
          </w:p>
        </w:tc>
      </w:tr>
      <w:tr w14:paraId="7F97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1C0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EF0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伏龙镇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904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74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6BB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B76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7</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EA3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9.25 </w:t>
            </w:r>
          </w:p>
        </w:tc>
      </w:tr>
      <w:tr w14:paraId="1662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3F2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AC7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苟角镇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0D3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192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976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5F8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49C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20.00 </w:t>
            </w:r>
          </w:p>
        </w:tc>
      </w:tr>
      <w:tr w14:paraId="6818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45F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342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顾县镇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5C8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314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8C3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285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D45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29</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E77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33.20 </w:t>
            </w:r>
          </w:p>
        </w:tc>
      </w:tr>
      <w:tr w14:paraId="36E1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218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33D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花园镇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567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141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656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CE6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9B2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19.65 </w:t>
            </w:r>
          </w:p>
        </w:tc>
      </w:tr>
      <w:tr w14:paraId="391E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EBA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2E8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黄龙乡</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7B0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96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DE1B">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B80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4.25 </w:t>
            </w:r>
          </w:p>
        </w:tc>
      </w:tr>
      <w:tr w14:paraId="4BEA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051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3F8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九龙街道办</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384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106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788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23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4</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C7C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12.10 </w:t>
            </w:r>
          </w:p>
        </w:tc>
      </w:tr>
      <w:tr w14:paraId="2BAC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128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BAE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临溪镇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839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B75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032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214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3.00 </w:t>
            </w:r>
          </w:p>
        </w:tc>
      </w:tr>
      <w:tr w14:paraId="1C9D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2CF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9DE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龙孔镇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90FB">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122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AF9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340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11</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DDB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17.55 </w:t>
            </w:r>
          </w:p>
        </w:tc>
      </w:tr>
      <w:tr w14:paraId="5222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D12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556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罗渡镇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8D6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136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AB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23B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14</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5BE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17.05 </w:t>
            </w:r>
          </w:p>
        </w:tc>
      </w:tr>
      <w:tr w14:paraId="13F7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D13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031B">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坪滩镇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33E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94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D63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043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906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11.70 </w:t>
            </w:r>
          </w:p>
        </w:tc>
      </w:tr>
      <w:tr w14:paraId="698B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ED5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10D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普安镇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83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133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3E9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AF6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9</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392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14.40 </w:t>
            </w:r>
          </w:p>
        </w:tc>
      </w:tr>
      <w:tr w14:paraId="1BBF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CE8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46C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齐福镇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211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119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14C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E69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FEC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12.25 </w:t>
            </w:r>
          </w:p>
        </w:tc>
      </w:tr>
      <w:tr w14:paraId="6E79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8E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37D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乔家镇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B90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72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079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47E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7</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AEF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8.70 </w:t>
            </w:r>
          </w:p>
        </w:tc>
      </w:tr>
      <w:tr w14:paraId="3805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390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CB7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秦溪镇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467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125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303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AE3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88D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14.50 </w:t>
            </w:r>
          </w:p>
        </w:tc>
      </w:tr>
      <w:tr w14:paraId="33B2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D9F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A86B">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石垭镇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168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91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C74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695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10</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D7C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10.55 </w:t>
            </w:r>
          </w:p>
        </w:tc>
      </w:tr>
      <w:tr w14:paraId="394A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DB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821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天平镇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26A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93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706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9C6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DC5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9.30 </w:t>
            </w:r>
          </w:p>
        </w:tc>
      </w:tr>
      <w:tr w14:paraId="148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21D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87F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同兴镇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6C7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8EB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6A5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9</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F8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3.15 </w:t>
            </w:r>
          </w:p>
        </w:tc>
      </w:tr>
      <w:tr w14:paraId="6796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97A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C1E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西板镇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DFBB">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291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014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4</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E44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2.70 </w:t>
            </w:r>
          </w:p>
        </w:tc>
      </w:tr>
      <w:tr w14:paraId="1D73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98E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9BC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新场镇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631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106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348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106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EEE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FC6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10.90 </w:t>
            </w:r>
          </w:p>
        </w:tc>
      </w:tr>
      <w:tr w14:paraId="3CE3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267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A40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兴隆镇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095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55D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367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7</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1799">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9.35 </w:t>
            </w:r>
          </w:p>
        </w:tc>
      </w:tr>
      <w:tr w14:paraId="46B6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921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DF3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酉溪镇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E86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175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D2EC">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1F1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E9D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18.70 </w:t>
            </w:r>
          </w:p>
        </w:tc>
      </w:tr>
      <w:tr w14:paraId="2F27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50E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9666">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鱼峰乡</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866F">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86B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F96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6CBD">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3.80 </w:t>
            </w:r>
          </w:p>
        </w:tc>
      </w:tr>
      <w:tr w14:paraId="60DA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F84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B75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裕民镇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FF3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F9E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206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5157">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1983">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21.50 </w:t>
            </w:r>
          </w:p>
        </w:tc>
      </w:tr>
      <w:tr w14:paraId="72DA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486A">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0E1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镇裕镇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B44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239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EA22">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4</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8A8B">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4.40 </w:t>
            </w:r>
          </w:p>
        </w:tc>
      </w:tr>
      <w:tr w14:paraId="5BBC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69B1">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27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2F24">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中和镇</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49CE">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88</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0205">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B2C8">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1</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2F0">
            <w:pPr>
              <w:keepNext w:val="0"/>
              <w:keepLines w:val="0"/>
              <w:widowControl/>
              <w:suppressLineNumbers w:val="0"/>
              <w:jc w:val="center"/>
              <w:textAlignment w:val="center"/>
              <w:rPr>
                <w:rFonts w:hint="eastAsia" w:cs="Times New Roman"/>
                <w:b w:val="0"/>
                <w:bCs w:val="0"/>
                <w:sz w:val="21"/>
                <w:szCs w:val="21"/>
                <w:lang w:val="en-US" w:eastAsia="zh-CN"/>
              </w:rPr>
            </w:pPr>
            <w:r>
              <w:rPr>
                <w:rFonts w:hint="eastAsia" w:cs="Times New Roman"/>
                <w:b w:val="0"/>
                <w:bCs w:val="0"/>
                <w:sz w:val="21"/>
                <w:szCs w:val="21"/>
                <w:lang w:val="en-US" w:eastAsia="zh-CN"/>
              </w:rPr>
              <w:t xml:space="preserve">13.15 </w:t>
            </w:r>
          </w:p>
        </w:tc>
      </w:tr>
    </w:tbl>
    <w:p w14:paraId="38AF7A9F">
      <w:pPr>
        <w:spacing w:line="590" w:lineRule="exact"/>
        <w:ind w:firstLine="640" w:firstLineChars="200"/>
        <w:rPr>
          <w:rFonts w:hint="eastAsia" w:ascii="仿宋_GB2312" w:hAnsi="仿宋_GB2312" w:cs="仿宋_GB2312"/>
        </w:rPr>
      </w:pPr>
      <w:r>
        <w:rPr>
          <w:rFonts w:ascii="仿宋_GB2312" w:hAnsi="仿宋_GB2312" w:cs="仿宋_GB2312"/>
        </w:rPr>
        <w:t>综上，该指标</w:t>
      </w:r>
      <w:r>
        <w:rPr>
          <w:rFonts w:hint="eastAsia" w:ascii="仿宋_GB2312" w:hAnsi="仿宋_GB2312" w:cs="仿宋_GB2312"/>
          <w:lang w:val="en-US" w:eastAsia="zh-CN"/>
        </w:rPr>
        <w:t>10</w:t>
      </w:r>
      <w:r>
        <w:rPr>
          <w:rFonts w:ascii="仿宋_GB2312" w:hAnsi="仿宋_GB2312" w:cs="仿宋_GB2312"/>
        </w:rPr>
        <w:t>分，评价得分</w:t>
      </w:r>
      <w:r>
        <w:rPr>
          <w:rFonts w:hint="eastAsia" w:ascii="仿宋_GB2312" w:hAnsi="仿宋_GB2312" w:cs="仿宋_GB2312"/>
          <w:lang w:val="en-US" w:eastAsia="zh-CN"/>
        </w:rPr>
        <w:t>10</w:t>
      </w:r>
      <w:r>
        <w:rPr>
          <w:rFonts w:ascii="仿宋_GB2312" w:hAnsi="仿宋_GB2312" w:cs="仿宋_GB2312"/>
        </w:rPr>
        <w:t>分。</w:t>
      </w:r>
    </w:p>
    <w:p w14:paraId="6815EFB4">
      <w:pPr>
        <w:spacing w:line="600" w:lineRule="exact"/>
        <w:ind w:firstLine="640" w:firstLineChars="200"/>
        <w:rPr>
          <w:rFonts w:hint="eastAsia"/>
          <w:highlight w:val="none"/>
          <w:lang w:val="en-US" w:eastAsia="zh-CN"/>
        </w:rPr>
      </w:pPr>
      <w:r>
        <w:rPr>
          <w:rFonts w:hint="eastAsia"/>
          <w:highlight w:val="none"/>
          <w:lang w:val="en-US" w:eastAsia="zh-CN"/>
        </w:rPr>
        <w:t>（2）对象精准性（10分）</w:t>
      </w:r>
    </w:p>
    <w:p w14:paraId="42464622">
      <w:pPr>
        <w:spacing w:line="600" w:lineRule="exact"/>
        <w:ind w:firstLine="640" w:firstLineChars="200"/>
        <w:rPr>
          <w:rFonts w:hint="eastAsia"/>
          <w:highlight w:val="none"/>
          <w:lang w:val="en-US" w:eastAsia="zh-CN"/>
        </w:rPr>
      </w:pPr>
      <w:r>
        <w:rPr>
          <w:rFonts w:hint="eastAsia"/>
          <w:highlight w:val="none"/>
          <w:lang w:val="en-US" w:eastAsia="zh-CN"/>
        </w:rPr>
        <w:t>该指标评价项目资金管理程序是否符合专项资金管理要求。</w:t>
      </w:r>
    </w:p>
    <w:p w14:paraId="2614687E">
      <w:pPr>
        <w:spacing w:line="590" w:lineRule="exact"/>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rPr>
        <w:t>评价结果：</w:t>
      </w:r>
      <w:r>
        <w:rPr>
          <w:rFonts w:hint="default" w:ascii="Times New Roman" w:hAnsi="Times New Roman" w:cs="Times New Roman"/>
          <w:lang w:val="en-US" w:eastAsia="zh-CN"/>
        </w:rPr>
        <w:t>评价组将领取2025年</w:t>
      </w:r>
      <w:r>
        <w:rPr>
          <w:rFonts w:hint="eastAsia" w:cs="Times New Roman"/>
          <w:lang w:val="en-US" w:eastAsia="zh-CN"/>
        </w:rPr>
        <w:t>公岗</w:t>
      </w:r>
      <w:r>
        <w:rPr>
          <w:rFonts w:hint="default" w:ascii="Times New Roman" w:hAnsi="Times New Roman" w:cs="Times New Roman"/>
          <w:lang w:val="en-US" w:eastAsia="zh-CN"/>
        </w:rPr>
        <w:t>补助名单与外出务工交通补助、一般村级公岗补助及护林员补助进行数据匹配，</w:t>
      </w:r>
      <w:r>
        <w:rPr>
          <w:rFonts w:hint="eastAsia" w:cs="Times New Roman"/>
          <w:lang w:val="en-US" w:eastAsia="zh-CN"/>
        </w:rPr>
        <w:t>未</w:t>
      </w:r>
      <w:r>
        <w:rPr>
          <w:rFonts w:hint="default" w:ascii="Times New Roman" w:hAnsi="Times New Roman" w:cs="Times New Roman"/>
          <w:lang w:val="en-US" w:eastAsia="zh-CN"/>
        </w:rPr>
        <w:t>发现重复领取补贴</w:t>
      </w:r>
      <w:r>
        <w:rPr>
          <w:rFonts w:hint="eastAsia" w:cs="Times New Roman"/>
          <w:lang w:val="en-US" w:eastAsia="zh-CN"/>
        </w:rPr>
        <w:t>情况</w:t>
      </w:r>
      <w:r>
        <w:rPr>
          <w:rFonts w:hint="default" w:ascii="Times New Roman" w:hAnsi="Times New Roman" w:cs="Times New Roman"/>
          <w:lang w:val="en-US" w:eastAsia="zh-CN"/>
        </w:rPr>
        <w:t>。</w:t>
      </w:r>
    </w:p>
    <w:p w14:paraId="35E27633">
      <w:pPr>
        <w:spacing w:line="590" w:lineRule="exact"/>
        <w:ind w:firstLine="640" w:firstLineChars="200"/>
        <w:rPr>
          <w:rFonts w:hint="default" w:ascii="Times New Roman" w:hAnsi="Times New Roman" w:cs="Times New Roman"/>
        </w:rPr>
      </w:pPr>
      <w:r>
        <w:rPr>
          <w:rFonts w:hint="default" w:ascii="Times New Roman" w:hAnsi="Times New Roman" w:cs="Times New Roman"/>
        </w:rPr>
        <w:t>综上，该指标</w:t>
      </w:r>
      <w:r>
        <w:rPr>
          <w:rFonts w:hint="default" w:ascii="Times New Roman" w:hAnsi="Times New Roman" w:cs="Times New Roman"/>
          <w:lang w:val="en-US" w:eastAsia="zh-CN"/>
        </w:rPr>
        <w:t>10</w:t>
      </w:r>
      <w:r>
        <w:rPr>
          <w:rFonts w:hint="default" w:ascii="Times New Roman" w:hAnsi="Times New Roman" w:cs="Times New Roman"/>
        </w:rPr>
        <w:t>分，评价得分</w:t>
      </w:r>
      <w:r>
        <w:rPr>
          <w:rFonts w:hint="eastAsia" w:cs="Times New Roman"/>
          <w:lang w:val="en-US" w:eastAsia="zh-CN"/>
        </w:rPr>
        <w:t>10</w:t>
      </w:r>
      <w:r>
        <w:rPr>
          <w:rFonts w:hint="default" w:ascii="Times New Roman" w:hAnsi="Times New Roman" w:cs="Times New Roman"/>
          <w:lang w:val="en-US" w:eastAsia="zh-CN"/>
        </w:rPr>
        <w:t>分</w:t>
      </w:r>
      <w:r>
        <w:rPr>
          <w:rFonts w:hint="default" w:ascii="Times New Roman" w:hAnsi="Times New Roman" w:cs="Times New Roman"/>
        </w:rPr>
        <w:t>。</w:t>
      </w:r>
    </w:p>
    <w:p w14:paraId="6FE64498">
      <w:pPr>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（3）标准合理性（5分）</w:t>
      </w:r>
    </w:p>
    <w:p w14:paraId="2CC81D86">
      <w:pPr>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该指标评价项目资金管理标准是否符合专项资金管理要求。</w:t>
      </w:r>
    </w:p>
    <w:p w14:paraId="3638B3FC">
      <w:pPr>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经核实，2025年岳池县</w:t>
      </w:r>
      <w:r>
        <w:rPr>
          <w:rFonts w:hint="default" w:ascii="Times New Roman" w:hAnsi="Times New Roman" w:cs="Times New Roman"/>
          <w:lang w:val="en-US" w:eastAsia="zh-CN"/>
        </w:rPr>
        <w:t>开发式公岗补助</w:t>
      </w:r>
      <w:r>
        <w:rPr>
          <w:rFonts w:hint="eastAsia" w:ascii="Times New Roman" w:hAnsi="Times New Roman" w:cs="Times New Roman"/>
          <w:lang w:val="en-US" w:eastAsia="zh-CN"/>
        </w:rPr>
        <w:t>严格按照省、市、县文件执行，补贴标准符合资金管理办法，2025年岳池县27个乡镇的脱贫户、监测户均纳入补助范围，开发式公岗预计</w:t>
      </w:r>
      <w:r>
        <w:rPr>
          <w:rFonts w:hint="eastAsia" w:cs="Times New Roman"/>
          <w:lang w:val="en-US" w:eastAsia="zh-CN"/>
        </w:rPr>
        <w:t>3014</w:t>
      </w:r>
      <w:r>
        <w:rPr>
          <w:rFonts w:hint="eastAsia" w:ascii="Times New Roman" w:hAnsi="Times New Roman" w:cs="Times New Roman"/>
          <w:lang w:val="en-US" w:eastAsia="zh-CN"/>
        </w:rPr>
        <w:t>个岗位，2-7个月/岗，补助标准每人每月500元。截至评价日，累计安置上岗</w:t>
      </w:r>
      <w:r>
        <w:rPr>
          <w:rFonts w:hint="eastAsia" w:cs="Times New Roman"/>
          <w:lang w:val="en-US" w:eastAsia="zh-CN"/>
        </w:rPr>
        <w:t>3014</w:t>
      </w:r>
      <w:r>
        <w:rPr>
          <w:rFonts w:hint="eastAsia" w:ascii="Times New Roman" w:hAnsi="Times New Roman" w:cs="Times New Roman"/>
          <w:lang w:val="en-US" w:eastAsia="zh-CN"/>
        </w:rPr>
        <w:t>人，</w:t>
      </w:r>
      <w:r>
        <w:rPr>
          <w:rFonts w:hint="eastAsia" w:ascii="Times New Roman" w:hAnsi="Times New Roman" w:eastAsia="仿宋_GB2312" w:cs="Times New Roman"/>
          <w:b w:val="0"/>
          <w:kern w:val="2"/>
          <w:sz w:val="32"/>
          <w:szCs w:val="32"/>
          <w:highlight w:val="none"/>
          <w:lang w:val="en-US" w:eastAsia="zh-CN" w:bidi="ar-SA"/>
        </w:rPr>
        <w:t>其中脱贫户</w:t>
      </w:r>
      <w:r>
        <w:rPr>
          <w:rFonts w:hint="eastAsia" w:cs="Times New Roman"/>
          <w:b w:val="0"/>
          <w:kern w:val="2"/>
          <w:sz w:val="32"/>
          <w:szCs w:val="32"/>
          <w:highlight w:val="none"/>
          <w:lang w:val="en-US" w:eastAsia="zh-CN" w:bidi="ar-SA"/>
        </w:rPr>
        <w:t>2796</w:t>
      </w:r>
      <w:r>
        <w:rPr>
          <w:rFonts w:hint="eastAsia" w:ascii="Times New Roman" w:hAnsi="Times New Roman" w:eastAsia="仿宋_GB2312" w:cs="Times New Roman"/>
          <w:b w:val="0"/>
          <w:kern w:val="2"/>
          <w:sz w:val="32"/>
          <w:szCs w:val="32"/>
          <w:highlight w:val="none"/>
          <w:lang w:val="en-US" w:eastAsia="zh-CN" w:bidi="ar-SA"/>
        </w:rPr>
        <w:t>人、监测户</w:t>
      </w:r>
      <w:r>
        <w:rPr>
          <w:rFonts w:hint="eastAsia" w:cs="Times New Roman"/>
          <w:b w:val="0"/>
          <w:kern w:val="2"/>
          <w:sz w:val="32"/>
          <w:szCs w:val="32"/>
          <w:highlight w:val="none"/>
          <w:lang w:val="en-US" w:eastAsia="zh-CN" w:bidi="ar-SA"/>
        </w:rPr>
        <w:t>218</w:t>
      </w:r>
      <w:r>
        <w:rPr>
          <w:rFonts w:hint="eastAsia" w:ascii="Times New Roman" w:hAnsi="Times New Roman" w:eastAsia="仿宋_GB2312" w:cs="Times New Roman"/>
          <w:b w:val="0"/>
          <w:kern w:val="2"/>
          <w:sz w:val="32"/>
          <w:szCs w:val="32"/>
          <w:highlight w:val="none"/>
          <w:lang w:val="en-US" w:eastAsia="zh-CN" w:bidi="ar-SA"/>
        </w:rPr>
        <w:t>人，脱贫户安置占比约</w:t>
      </w:r>
      <w:r>
        <w:rPr>
          <w:rFonts w:hint="eastAsia" w:cs="Times New Roman"/>
          <w:b w:val="0"/>
          <w:kern w:val="2"/>
          <w:sz w:val="32"/>
          <w:szCs w:val="32"/>
          <w:highlight w:val="none"/>
          <w:lang w:val="en-US" w:eastAsia="zh-CN" w:bidi="ar-SA"/>
        </w:rPr>
        <w:t>92.77</w:t>
      </w:r>
      <w:r>
        <w:rPr>
          <w:rFonts w:hint="eastAsia" w:ascii="Times New Roman" w:hAnsi="Times New Roman" w:eastAsia="仿宋_GB2312" w:cs="Times New Roman"/>
          <w:b w:val="0"/>
          <w:kern w:val="2"/>
          <w:sz w:val="32"/>
          <w:szCs w:val="32"/>
          <w:highlight w:val="none"/>
          <w:lang w:val="en-US" w:eastAsia="zh-CN" w:bidi="ar-SA"/>
        </w:rPr>
        <w:t>%，监测户占比约</w:t>
      </w:r>
      <w:r>
        <w:rPr>
          <w:rFonts w:hint="eastAsia" w:cs="Times New Roman"/>
          <w:b w:val="0"/>
          <w:kern w:val="2"/>
          <w:sz w:val="32"/>
          <w:szCs w:val="32"/>
          <w:highlight w:val="none"/>
          <w:lang w:val="en-US" w:eastAsia="zh-CN" w:bidi="ar-SA"/>
        </w:rPr>
        <w:t>7.23</w:t>
      </w:r>
      <w:r>
        <w:rPr>
          <w:rFonts w:hint="eastAsia" w:ascii="Times New Roman" w:hAnsi="Times New Roman" w:eastAsia="仿宋_GB2312" w:cs="Times New Roman"/>
          <w:b w:val="0"/>
          <w:kern w:val="2"/>
          <w:sz w:val="32"/>
          <w:szCs w:val="32"/>
          <w:highlight w:val="none"/>
          <w:lang w:val="en-US" w:eastAsia="zh-CN" w:bidi="ar-SA"/>
        </w:rPr>
        <w:t>%</w:t>
      </w:r>
      <w:r>
        <w:rPr>
          <w:rFonts w:hint="eastAsia" w:ascii="Times New Roman" w:hAnsi="Times New Roman" w:cs="Times New Roman"/>
          <w:lang w:val="en-US" w:eastAsia="zh-CN"/>
        </w:rPr>
        <w:t>。</w:t>
      </w:r>
    </w:p>
    <w:p w14:paraId="1B0F1915">
      <w:pPr>
        <w:spacing w:line="590" w:lineRule="exact"/>
        <w:ind w:firstLine="640" w:firstLineChars="200"/>
        <w:rPr>
          <w:rFonts w:hint="default" w:ascii="Times New Roman" w:hAnsi="Times New Roman" w:cs="Times New Roman"/>
          <w:lang w:val="en-US" w:eastAsia="zh-CN"/>
        </w:rPr>
      </w:pPr>
      <w:r>
        <w:rPr>
          <w:rFonts w:hint="eastAsia" w:ascii="Times New Roman" w:hAnsi="Times New Roman" w:cs="Times New Roman"/>
          <w:lang w:val="en-US" w:eastAsia="zh-CN"/>
        </w:rPr>
        <w:t>综上，该指标10分，评价得分10分。</w:t>
      </w:r>
    </w:p>
    <w:p w14:paraId="7E971B90">
      <w:pPr>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3.个性指标分析</w:t>
      </w:r>
    </w:p>
    <w:p w14:paraId="6B3FC01E">
      <w:pPr>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一级指标“个性指标”赋分16分，下设程序合规性、群众满意度2个三级指标。</w:t>
      </w:r>
    </w:p>
    <w:p w14:paraId="0E888A3C">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（1）程序合规性（10分）</w:t>
      </w:r>
    </w:p>
    <w:p w14:paraId="2A0C97A2">
      <w:pPr>
        <w:spacing w:line="590" w:lineRule="exact"/>
        <w:ind w:firstLine="640" w:firstLineChars="200"/>
        <w:rPr>
          <w:rFonts w:hint="eastAsia" w:ascii="仿宋_GB2312" w:hAnsi="仿宋_GB2312" w:eastAsia="仿宋_GB2312" w:cs="仿宋_GB2312"/>
          <w:lang w:eastAsia="zh-CN"/>
        </w:rPr>
      </w:pPr>
      <w:r>
        <w:rPr>
          <w:rFonts w:hint="eastAsia" w:ascii="仿宋_GB2312" w:hAnsi="仿宋_GB2312" w:cs="仿宋_GB2312"/>
        </w:rPr>
        <w:t>该指标评价项目</w:t>
      </w:r>
      <w:r>
        <w:rPr>
          <w:rFonts w:hint="eastAsia" w:ascii="仿宋_GB2312" w:hAnsi="仿宋_GB2312" w:cs="仿宋_GB2312"/>
          <w:lang w:val="en-US" w:eastAsia="zh-CN"/>
        </w:rPr>
        <w:t>实施过程合规性</w:t>
      </w:r>
      <w:r>
        <w:rPr>
          <w:rFonts w:hint="eastAsia" w:ascii="仿宋_GB2312" w:hAnsi="仿宋_GB2312" w:cs="仿宋_GB2312"/>
          <w:lang w:eastAsia="zh-CN"/>
        </w:rPr>
        <w:t>。</w:t>
      </w:r>
    </w:p>
    <w:p w14:paraId="2DD50CDF">
      <w:pPr>
        <w:spacing w:line="600" w:lineRule="exact"/>
        <w:ind w:firstLine="640" w:firstLineChars="200"/>
        <w:rPr>
          <w:rFonts w:hint="eastAsia" w:ascii="Times New Roman" w:hAnsi="Times New Roman" w:cs="Times New Roman"/>
          <w:szCs w:val="32"/>
          <w:highlight w:val="none"/>
          <w:lang w:val="en-US" w:eastAsia="zh-CN"/>
        </w:rPr>
      </w:pPr>
      <w:r>
        <w:rPr>
          <w:rFonts w:hint="default"/>
          <w:lang w:val="en-US" w:eastAsia="zh-CN"/>
        </w:rPr>
        <w:t>评价组随机抽查西板镇、镇裕镇、花园镇3个乡镇公益岗资料，</w:t>
      </w:r>
      <w:r>
        <w:rPr>
          <w:rFonts w:hint="eastAsia"/>
          <w:lang w:val="en-US" w:eastAsia="zh-CN"/>
        </w:rPr>
        <w:t>上岗签到合规、资料齐全</w:t>
      </w:r>
      <w:r>
        <w:rPr>
          <w:rFonts w:hint="default"/>
          <w:lang w:val="en-US" w:eastAsia="zh-CN"/>
        </w:rPr>
        <w:t>。</w:t>
      </w:r>
    </w:p>
    <w:p w14:paraId="6162F963">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综上，该指标10分，评价得分</w:t>
      </w:r>
      <w:r>
        <w:rPr>
          <w:rFonts w:hint="eastAsia" w:cs="Times New Roman"/>
          <w:szCs w:val="32"/>
          <w:lang w:val="en-US" w:eastAsia="zh-CN"/>
        </w:rPr>
        <w:t>10</w:t>
      </w:r>
      <w:r>
        <w:rPr>
          <w:rFonts w:hint="eastAsia" w:ascii="Times New Roman" w:hAnsi="Times New Roman" w:cs="Times New Roman"/>
          <w:szCs w:val="32"/>
          <w:lang w:val="en-US" w:eastAsia="zh-CN"/>
        </w:rPr>
        <w:t>分。</w:t>
      </w:r>
    </w:p>
    <w:p w14:paraId="27560192">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（2）群众满意度（6分）</w:t>
      </w:r>
    </w:p>
    <w:p w14:paraId="4D2A3C54">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该指标评价受益对象对项目实施的满意度情况。</w:t>
      </w:r>
    </w:p>
    <w:p w14:paraId="57FA3C82">
      <w:pPr>
        <w:spacing w:line="60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评价组通过问卷调查的方式，对项目实施必要性、程序便捷性、补助发放及时性等进行了问卷调查。共计发放调查问卷20份，收回20份。根据反馈的问卷数据，9</w:t>
      </w:r>
      <w:r>
        <w:rPr>
          <w:rFonts w:hint="eastAsia" w:cs="Times New Roman"/>
          <w:szCs w:val="32"/>
          <w:lang w:val="en-US" w:eastAsia="zh-CN"/>
        </w:rPr>
        <w:t>5.5</w:t>
      </w:r>
      <w:r>
        <w:rPr>
          <w:rFonts w:hint="eastAsia" w:ascii="Times New Roman" w:hAnsi="Times New Roman" w:cs="Times New Roman"/>
          <w:szCs w:val="32"/>
          <w:lang w:val="en-US" w:eastAsia="zh-CN"/>
        </w:rPr>
        <w:t>%的受访对象认为项目实施效果较好。</w:t>
      </w:r>
    </w:p>
    <w:p w14:paraId="0F0BAEC0">
      <w:pPr>
        <w:spacing w:line="590" w:lineRule="exact"/>
        <w:ind w:firstLine="640" w:firstLineChars="200"/>
        <w:rPr>
          <w:rFonts w:hint="eastAsia" w:ascii="仿宋_GB2312" w:eastAsia="仿宋_GB2312"/>
          <w:lang w:eastAsia="zh-CN"/>
        </w:rPr>
      </w:pPr>
      <w:r>
        <w:rPr>
          <w:rFonts w:hint="eastAsia" w:ascii="Times New Roman" w:hAnsi="Times New Roman" w:cs="Times New Roman"/>
          <w:szCs w:val="32"/>
          <w:lang w:val="en-US" w:eastAsia="zh-CN"/>
        </w:rPr>
        <w:t>综上，该指标6分，评价得分</w:t>
      </w:r>
      <w:r>
        <w:rPr>
          <w:rFonts w:hint="eastAsia" w:cs="Times New Roman"/>
          <w:szCs w:val="32"/>
          <w:lang w:val="en-US" w:eastAsia="zh-CN"/>
        </w:rPr>
        <w:t>6</w:t>
      </w:r>
      <w:r>
        <w:rPr>
          <w:rFonts w:hint="eastAsia" w:ascii="Times New Roman" w:hAnsi="Times New Roman" w:cs="Times New Roman"/>
          <w:szCs w:val="32"/>
          <w:lang w:val="en-US" w:eastAsia="zh-CN"/>
        </w:rPr>
        <w:t>分。</w:t>
      </w:r>
    </w:p>
    <w:p w14:paraId="77A0C142">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宋体" w:hAnsi="宋体" w:eastAsia="黑体" w:cs="宋体"/>
          <w:b/>
          <w:bCs/>
          <w:kern w:val="44"/>
          <w:sz w:val="32"/>
          <w:szCs w:val="48"/>
          <w:highlight w:val="none"/>
          <w:lang w:val="en-US" w:eastAsia="zh-CN" w:bidi="ar"/>
        </w:rPr>
      </w:pPr>
      <w:bookmarkStart w:id="59" w:name="_Toc25266"/>
      <w:r>
        <w:rPr>
          <w:rFonts w:hint="eastAsia" w:ascii="宋体" w:hAnsi="宋体" w:eastAsia="黑体" w:cs="宋体"/>
          <w:b/>
          <w:bCs/>
          <w:kern w:val="44"/>
          <w:sz w:val="32"/>
          <w:szCs w:val="48"/>
          <w:lang w:val="en-US" w:eastAsia="zh-CN" w:bidi="ar"/>
        </w:rPr>
        <w:t>四、存</w:t>
      </w:r>
      <w:r>
        <w:rPr>
          <w:rFonts w:hint="eastAsia" w:ascii="宋体" w:hAnsi="宋体" w:eastAsia="黑体" w:cs="宋体"/>
          <w:b/>
          <w:bCs/>
          <w:kern w:val="44"/>
          <w:sz w:val="32"/>
          <w:szCs w:val="48"/>
          <w:highlight w:val="none"/>
          <w:lang w:val="en-US" w:eastAsia="zh-CN" w:bidi="ar"/>
        </w:rPr>
        <w:t>在主要问题</w:t>
      </w:r>
      <w:bookmarkEnd w:id="59"/>
    </w:p>
    <w:p w14:paraId="3CA7DC37">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60" w:name="_Toc24455"/>
      <w:r>
        <w:rPr>
          <w:rFonts w:hint="eastAsia" w:ascii="楷体_GB2312" w:hAnsi="楷体_GB2312" w:eastAsia="楷体_GB2312" w:cs="楷体_GB2312"/>
          <w:b/>
          <w:lang w:val="en-US" w:eastAsia="zh-CN"/>
        </w:rPr>
        <w:t>（一）绩效管理工作不到位</w:t>
      </w:r>
      <w:bookmarkEnd w:id="60"/>
    </w:p>
    <w:p w14:paraId="06734B4F">
      <w:pPr>
        <w:bidi w:val="0"/>
        <w:ind w:firstLine="640" w:firstLineChars="200"/>
        <w:rPr>
          <w:rFonts w:hint="eastAsia" w:ascii="仿宋_GB2312" w:hAnsi="仿宋_GB2312" w:cs="仿宋_GB2312"/>
          <w:highlight w:val="green"/>
        </w:rPr>
      </w:pPr>
      <w:r>
        <w:rPr>
          <w:rFonts w:hint="eastAsia"/>
          <w:highlight w:val="none"/>
          <w:lang w:val="en-US" w:eastAsia="zh-CN"/>
        </w:rPr>
        <w:t>2025年，岳池县农业农村局完成《绩效目标自评表》填报和自评报告，但自评报告质量不高，未能对项目成效体系化梳理，绩效自评报告存在逻辑性不强的问题。</w:t>
      </w:r>
    </w:p>
    <w:p w14:paraId="4D4669B0">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default" w:ascii="楷体_GB2312" w:hAnsi="楷体_GB2312" w:eastAsia="楷体_GB2312" w:cs="楷体_GB2312"/>
          <w:b/>
          <w:lang w:val="en-US" w:eastAsia="zh-CN"/>
        </w:rPr>
      </w:pPr>
      <w:bookmarkStart w:id="61" w:name="_Toc20187"/>
      <w:r>
        <w:rPr>
          <w:rFonts w:hint="eastAsia" w:ascii="楷体_GB2312" w:hAnsi="楷体_GB2312" w:eastAsia="楷体_GB2312" w:cs="楷体_GB2312"/>
          <w:b/>
          <w:lang w:val="en-US" w:eastAsia="zh-CN"/>
        </w:rPr>
        <w:t>（二）绩效目标设置不规范</w:t>
      </w:r>
      <w:bookmarkEnd w:id="61"/>
    </w:p>
    <w:p w14:paraId="3B4467EB">
      <w:pPr>
        <w:tabs>
          <w:tab w:val="left" w:pos="3885"/>
        </w:tabs>
        <w:spacing w:line="590" w:lineRule="exact"/>
        <w:ind w:firstLine="640" w:firstLineChars="200"/>
        <w:jc w:val="left"/>
        <w:rPr>
          <w:rFonts w:ascii="仿宋_GB2312" w:hAnsi="仿宋_GB2312" w:cs="仿宋_GB2312"/>
        </w:rPr>
      </w:pPr>
      <w:r>
        <w:rPr>
          <w:rFonts w:hint="eastAsia" w:ascii="Times New Roman" w:hAnsi="Times New Roman" w:cs="Times New Roman"/>
          <w:szCs w:val="32"/>
          <w:highlight w:val="none"/>
          <w:lang w:val="en-US" w:eastAsia="zh-CN"/>
        </w:rPr>
        <w:t>绩效目标设置</w:t>
      </w:r>
      <w:r>
        <w:rPr>
          <w:rFonts w:hint="eastAsia" w:cs="Times New Roman"/>
          <w:szCs w:val="32"/>
          <w:highlight w:val="none"/>
          <w:lang w:val="en-US" w:eastAsia="zh-CN"/>
        </w:rPr>
        <w:t>规范性不足，</w:t>
      </w:r>
      <w:r>
        <w:rPr>
          <w:rFonts w:hint="eastAsia" w:cs="Times New Roman"/>
          <w:szCs w:val="32"/>
          <w:lang w:val="en-US" w:eastAsia="zh-CN"/>
        </w:rPr>
        <w:t>完整性缺失。数量指标逻辑错位，将“补贴资金总额（</w:t>
      </w:r>
      <w:r>
        <w:rPr>
          <w:rFonts w:hint="default" w:ascii="Arial" w:hAnsi="Arial" w:cs="Arial"/>
          <w:szCs w:val="32"/>
          <w:lang w:val="en-US" w:eastAsia="zh-CN"/>
        </w:rPr>
        <w:t>≥</w:t>
      </w:r>
      <w:r>
        <w:rPr>
          <w:rFonts w:hint="eastAsia" w:cs="Times New Roman"/>
          <w:szCs w:val="32"/>
          <w:lang w:val="en-US" w:eastAsia="zh-CN"/>
        </w:rPr>
        <w:t>425万元）”列为数量指标，实际该指标属于“成本/资金控制指标”，且用“≥”会表示发放金额可高于拨款，不符合资金管理规范；未设置核心数量指标（如开发公益性岗位数量、受益脱贫人口/监测对象劳动力人数、补贴发放人次），数量维度缺失。绩效目标表中，未针对经济效益、社会效益、生态效益及可持续影响设置相应的效益指标，未能全面反映项目实施后产生的经济、社会、生态价值及长期影响，绩效目标体系完整性不足，无法对项目综合效益进行量化评价。</w:t>
      </w:r>
      <w:r>
        <w:rPr>
          <w:rFonts w:hint="eastAsia" w:ascii="仿宋_GB2312" w:hAnsi="仿宋_GB2312" w:cs="仿宋_GB2312"/>
          <w:highlight w:val="none"/>
          <w:lang w:val="en-US" w:eastAsia="zh-CN"/>
        </w:rPr>
        <w:t>项目总体绩效目标设置合理性偏离</w:t>
      </w:r>
      <w:r>
        <w:rPr>
          <w:rFonts w:hint="eastAsia" w:cs="Times New Roman"/>
          <w:szCs w:val="32"/>
          <w:lang w:val="en-US" w:eastAsia="zh-CN"/>
        </w:rPr>
        <w:t>33.33%。</w:t>
      </w:r>
    </w:p>
    <w:p w14:paraId="7A790B74">
      <w:pPr>
        <w:tabs>
          <w:tab w:val="left" w:pos="3885"/>
        </w:tabs>
        <w:spacing w:line="590" w:lineRule="exact"/>
        <w:outlineLvl w:val="0"/>
        <w:rPr>
          <w:rFonts w:hint="eastAsia" w:ascii="宋体" w:hAnsi="宋体" w:eastAsia="黑体" w:cs="宋体"/>
          <w:b/>
          <w:bCs/>
          <w:kern w:val="44"/>
          <w:sz w:val="32"/>
          <w:szCs w:val="48"/>
          <w:lang w:val="en-US" w:eastAsia="zh-CN" w:bidi="ar"/>
        </w:rPr>
      </w:pPr>
      <w:r>
        <w:rPr>
          <w:rFonts w:hint="eastAsia" w:ascii="仿宋_GB2312" w:hAnsi="仿宋_GB2312" w:cs="仿宋_GB2312"/>
        </w:rPr>
        <w:t xml:space="preserve">   </w:t>
      </w:r>
      <w:r>
        <w:rPr>
          <w:rFonts w:hint="eastAsia" w:ascii="黑体" w:hAnsi="黑体" w:eastAsia="黑体" w:cs="黑体"/>
        </w:rPr>
        <w:t xml:space="preserve"> </w:t>
      </w:r>
      <w:bookmarkStart w:id="62" w:name="_Toc9366"/>
      <w:r>
        <w:rPr>
          <w:rFonts w:hint="eastAsia" w:ascii="宋体" w:hAnsi="宋体" w:eastAsia="黑体" w:cs="宋体"/>
          <w:b/>
          <w:bCs/>
          <w:kern w:val="44"/>
          <w:sz w:val="32"/>
          <w:szCs w:val="48"/>
          <w:lang w:val="en-US" w:eastAsia="zh-CN" w:bidi="ar"/>
        </w:rPr>
        <w:t>五、相关措施建议</w:t>
      </w:r>
      <w:bookmarkEnd w:id="62"/>
    </w:p>
    <w:p w14:paraId="46838E8B">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default" w:ascii="楷体_GB2312" w:hAnsi="楷体_GB2312" w:eastAsia="楷体_GB2312" w:cs="楷体_GB2312"/>
          <w:b/>
          <w:lang w:val="en-US" w:eastAsia="zh-CN"/>
        </w:rPr>
      </w:pPr>
      <w:bookmarkStart w:id="63" w:name="_Toc30900"/>
      <w:r>
        <w:rPr>
          <w:rFonts w:hint="eastAsia" w:ascii="楷体_GB2312" w:hAnsi="楷体_GB2312" w:eastAsia="楷体_GB2312" w:cs="楷体_GB2312"/>
          <w:b/>
          <w:lang w:val="en-US" w:eastAsia="zh-CN"/>
        </w:rPr>
        <w:t>（一）加强绩效管理工作</w:t>
      </w:r>
      <w:bookmarkEnd w:id="63"/>
    </w:p>
    <w:p w14:paraId="643C9989">
      <w:pPr>
        <w:spacing w:line="590" w:lineRule="exact"/>
        <w:ind w:firstLine="640" w:firstLineChars="200"/>
        <w:rPr>
          <w:rFonts w:ascii="仿宋_GB2312" w:hAnsi="仿宋_GB2312" w:cs="仿宋_GB2312"/>
        </w:rPr>
      </w:pPr>
      <w:r>
        <w:rPr>
          <w:rFonts w:hint="eastAsia" w:ascii="Times New Roman" w:hAnsi="Times New Roman" w:cs="Times New Roman"/>
          <w:lang w:val="en-US" w:eastAsia="zh-CN"/>
        </w:rPr>
        <w:t>建议深刻领会并扎实开展绩效自评</w:t>
      </w:r>
      <w:r>
        <w:rPr>
          <w:rFonts w:hint="eastAsia" w:cs="Times New Roman"/>
          <w:lang w:val="en-US" w:eastAsia="zh-CN"/>
        </w:rPr>
        <w:t>工作</w:t>
      </w:r>
      <w:r>
        <w:rPr>
          <w:rFonts w:hint="eastAsia" w:ascii="Times New Roman" w:hAnsi="Times New Roman" w:cs="Times New Roman"/>
          <w:lang w:val="en-US" w:eastAsia="zh-CN"/>
        </w:rPr>
        <w:t>，严格按照绩效自评相关要求，组织业务人员、技术专家对单位绩效管理情况进行认真细致评价，提升自评质量。同时，主动将自评发现的问题运用到改进工作中，不断提升单位绩效管理水平。</w:t>
      </w:r>
    </w:p>
    <w:p w14:paraId="23839F75">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textAlignment w:val="auto"/>
        <w:rPr>
          <w:rFonts w:hint="eastAsia" w:ascii="楷体_GB2312" w:hAnsi="楷体_GB2312" w:eastAsia="楷体_GB2312" w:cs="楷体_GB2312"/>
          <w:b/>
          <w:lang w:val="en-US" w:eastAsia="zh-CN"/>
        </w:rPr>
      </w:pPr>
      <w:bookmarkStart w:id="64" w:name="_Toc31515"/>
      <w:r>
        <w:rPr>
          <w:rFonts w:hint="eastAsia" w:ascii="楷体_GB2312" w:hAnsi="楷体_GB2312" w:eastAsia="楷体_GB2312" w:cs="楷体_GB2312"/>
          <w:b/>
          <w:lang w:val="en-US" w:eastAsia="zh-CN"/>
        </w:rPr>
        <w:t>（二）规范编制绩效目标，加大预算绩效管理工作落实力度，加快绩效指标和标准体系建设</w:t>
      </w:r>
      <w:bookmarkEnd w:id="64"/>
    </w:p>
    <w:p w14:paraId="6FD3668C">
      <w:pPr>
        <w:spacing w:line="590" w:lineRule="exact"/>
        <w:ind w:firstLine="640" w:firstLineChars="200"/>
        <w:rPr>
          <w:rFonts w:hint="default" w:ascii="Times New Roman" w:hAnsi="Times New Roman" w:cs="Times New Roman"/>
        </w:rPr>
      </w:pPr>
      <w:r>
        <w:rPr>
          <w:rFonts w:hint="eastAsia" w:ascii="Times New Roman" w:hAnsi="Times New Roman" w:cs="Times New Roman"/>
          <w:highlight w:val="none"/>
          <w:lang w:val="en-US" w:eastAsia="zh-CN"/>
        </w:rPr>
        <w:t>一是建议县农业农村局掌握各绩效目标三级指标的指标解释，充分考虑影响因素，根据项目预期可实现成果设置合理的指标值。二是建议财政部</w:t>
      </w:r>
      <w:r>
        <w:rPr>
          <w:rFonts w:hint="eastAsia" w:ascii="Times New Roman" w:hAnsi="Times New Roman" w:cs="Times New Roman"/>
          <w:color w:val="auto"/>
          <w:highlight w:val="none"/>
          <w:lang w:val="en-US" w:eastAsia="zh-CN"/>
        </w:rPr>
        <w:t>门加大绩效</w:t>
      </w:r>
      <w:r>
        <w:rPr>
          <w:rFonts w:hint="eastAsia" w:ascii="Times New Roman" w:hAnsi="Times New Roman" w:cs="Times New Roman"/>
          <w:highlight w:val="none"/>
          <w:lang w:val="en-US" w:eastAsia="zh-CN"/>
        </w:rPr>
        <w:t>目标审核力度，建议指标以定量指标为主，细化量化，提高目标可衡量性</w:t>
      </w:r>
      <w:r>
        <w:rPr>
          <w:rFonts w:hint="eastAsia" w:ascii="仿宋_GB2312" w:hAnsi="仿宋_GB2312" w:cs="仿宋_GB2312"/>
          <w:lang w:val="en-US" w:eastAsia="zh-CN"/>
        </w:rPr>
        <w:t>。</w:t>
      </w:r>
    </w:p>
    <w:sectPr>
      <w:footerReference r:id="rId4" w:type="default"/>
      <w:pgSz w:w="11906" w:h="16838"/>
      <w:pgMar w:top="1440" w:right="1800" w:bottom="1440" w:left="1800" w:header="851" w:footer="141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592994-3DA4-4726-842C-339E41CBFF9F}"/>
  </w:font>
  <w:font w:name="黑体">
    <w:panose1 w:val="02010609060101010101"/>
    <w:charset w:val="86"/>
    <w:family w:val="auto"/>
    <w:pitch w:val="default"/>
    <w:sig w:usb0="800002BF" w:usb1="38CF7CFA" w:usb2="00000016" w:usb3="00000000" w:csb0="00040001" w:csb1="00000000"/>
    <w:embedRegular r:id="rId2" w:fontKey="{BE97EDD6-2F3D-41B4-90A7-44C1C148F6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D527914-BCB0-4967-911B-2712EF77E50D}"/>
  </w:font>
  <w:font w:name="楷体_GB2312">
    <w:panose1 w:val="02010609030101010101"/>
    <w:charset w:val="86"/>
    <w:family w:val="modern"/>
    <w:pitch w:val="default"/>
    <w:sig w:usb0="00000001" w:usb1="080E0000" w:usb2="00000000" w:usb3="00000000" w:csb0="00040000" w:csb1="00000000"/>
    <w:embedRegular r:id="rId4" w:fontKey="{73D8AD30-141B-4A89-8776-F5FEE815E257}"/>
  </w:font>
  <w:font w:name="方正小标宋简体">
    <w:panose1 w:val="03000509000000000000"/>
    <w:charset w:val="86"/>
    <w:family w:val="auto"/>
    <w:pitch w:val="default"/>
    <w:sig w:usb0="00000001" w:usb1="080E0000" w:usb2="00000000" w:usb3="00000000" w:csb0="00040000" w:csb1="00000000"/>
    <w:embedRegular r:id="rId5" w:fontKey="{2A489E6F-B4BC-4DDC-876F-681FD7726F80}"/>
  </w:font>
  <w:font w:name="仿宋">
    <w:panose1 w:val="02010609060101010101"/>
    <w:charset w:val="86"/>
    <w:family w:val="modern"/>
    <w:pitch w:val="default"/>
    <w:sig w:usb0="800002BF" w:usb1="38CF7CFA" w:usb2="00000016" w:usb3="00000000" w:csb0="00040001" w:csb1="00000000"/>
    <w:embedRegular r:id="rId6" w:fontKey="{FDE45C89-D97D-4C19-908E-DD87017915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9FD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559E0">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8559E0">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792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4F036">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284F036">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6F71B67"/>
    <w:rsid w:val="000066E9"/>
    <w:rsid w:val="002073C6"/>
    <w:rsid w:val="0027294E"/>
    <w:rsid w:val="003D0404"/>
    <w:rsid w:val="004755B6"/>
    <w:rsid w:val="00534C41"/>
    <w:rsid w:val="005C088A"/>
    <w:rsid w:val="007F2258"/>
    <w:rsid w:val="00A81D22"/>
    <w:rsid w:val="00A87F74"/>
    <w:rsid w:val="00AD697F"/>
    <w:rsid w:val="00AD7CE7"/>
    <w:rsid w:val="00CE72AE"/>
    <w:rsid w:val="00E600F4"/>
    <w:rsid w:val="00EB0445"/>
    <w:rsid w:val="00ED54C6"/>
    <w:rsid w:val="00FB62F5"/>
    <w:rsid w:val="010B276E"/>
    <w:rsid w:val="01536131"/>
    <w:rsid w:val="0156177E"/>
    <w:rsid w:val="01964270"/>
    <w:rsid w:val="019E4B5C"/>
    <w:rsid w:val="01AD31B8"/>
    <w:rsid w:val="01B547F1"/>
    <w:rsid w:val="01D37272"/>
    <w:rsid w:val="01E943A0"/>
    <w:rsid w:val="0224187C"/>
    <w:rsid w:val="022C0730"/>
    <w:rsid w:val="022E26FA"/>
    <w:rsid w:val="0270782A"/>
    <w:rsid w:val="02742BD2"/>
    <w:rsid w:val="028D269D"/>
    <w:rsid w:val="02AF7D72"/>
    <w:rsid w:val="02C92423"/>
    <w:rsid w:val="02D51917"/>
    <w:rsid w:val="02DD1A2B"/>
    <w:rsid w:val="0350044F"/>
    <w:rsid w:val="036D7252"/>
    <w:rsid w:val="03B1713F"/>
    <w:rsid w:val="03B9598C"/>
    <w:rsid w:val="03BB179E"/>
    <w:rsid w:val="03D06737"/>
    <w:rsid w:val="03D81FE4"/>
    <w:rsid w:val="03E272F9"/>
    <w:rsid w:val="03EF297E"/>
    <w:rsid w:val="03F51DD9"/>
    <w:rsid w:val="0410030A"/>
    <w:rsid w:val="04294F58"/>
    <w:rsid w:val="04335DA6"/>
    <w:rsid w:val="04561A95"/>
    <w:rsid w:val="045A7E29"/>
    <w:rsid w:val="04657F2A"/>
    <w:rsid w:val="04675A50"/>
    <w:rsid w:val="047963FA"/>
    <w:rsid w:val="04A6161D"/>
    <w:rsid w:val="04BE32FA"/>
    <w:rsid w:val="04C2388A"/>
    <w:rsid w:val="04D01847"/>
    <w:rsid w:val="04E2157A"/>
    <w:rsid w:val="050F05C1"/>
    <w:rsid w:val="058A5E9A"/>
    <w:rsid w:val="05B41169"/>
    <w:rsid w:val="05EA06E6"/>
    <w:rsid w:val="05FB6D97"/>
    <w:rsid w:val="05FE4192"/>
    <w:rsid w:val="06336531"/>
    <w:rsid w:val="066C559F"/>
    <w:rsid w:val="06A73D74"/>
    <w:rsid w:val="06C06DA3"/>
    <w:rsid w:val="06CB0518"/>
    <w:rsid w:val="06D049C4"/>
    <w:rsid w:val="06F71B67"/>
    <w:rsid w:val="07177C01"/>
    <w:rsid w:val="074402CA"/>
    <w:rsid w:val="07603356"/>
    <w:rsid w:val="07812A3C"/>
    <w:rsid w:val="078D0536"/>
    <w:rsid w:val="07AF139D"/>
    <w:rsid w:val="082F0F7A"/>
    <w:rsid w:val="08AE6343"/>
    <w:rsid w:val="08C90A87"/>
    <w:rsid w:val="08D5567E"/>
    <w:rsid w:val="08DA7138"/>
    <w:rsid w:val="09036563"/>
    <w:rsid w:val="0933410C"/>
    <w:rsid w:val="094840A2"/>
    <w:rsid w:val="09AD771A"/>
    <w:rsid w:val="09D973F0"/>
    <w:rsid w:val="09E527C8"/>
    <w:rsid w:val="0A2F38BD"/>
    <w:rsid w:val="0A40746F"/>
    <w:rsid w:val="0A5E78F5"/>
    <w:rsid w:val="0AA51080"/>
    <w:rsid w:val="0AD26C6C"/>
    <w:rsid w:val="0AE24082"/>
    <w:rsid w:val="0B4F26DA"/>
    <w:rsid w:val="0BE0613B"/>
    <w:rsid w:val="0C191D25"/>
    <w:rsid w:val="0C3E79DE"/>
    <w:rsid w:val="0C874EE1"/>
    <w:rsid w:val="0C9D2956"/>
    <w:rsid w:val="0CA05FA3"/>
    <w:rsid w:val="0CAB755A"/>
    <w:rsid w:val="0CD21ED4"/>
    <w:rsid w:val="0CD520F0"/>
    <w:rsid w:val="0D444B80"/>
    <w:rsid w:val="0DA1284C"/>
    <w:rsid w:val="0DA732F6"/>
    <w:rsid w:val="0DDE3227"/>
    <w:rsid w:val="0E0C4A60"/>
    <w:rsid w:val="0E1C78AB"/>
    <w:rsid w:val="0E2028C5"/>
    <w:rsid w:val="0E213113"/>
    <w:rsid w:val="0E24071B"/>
    <w:rsid w:val="0E2B5D40"/>
    <w:rsid w:val="0E653000"/>
    <w:rsid w:val="0E78716D"/>
    <w:rsid w:val="0E8536A2"/>
    <w:rsid w:val="0EB61AAE"/>
    <w:rsid w:val="0F000F7B"/>
    <w:rsid w:val="0F20786F"/>
    <w:rsid w:val="0F501F02"/>
    <w:rsid w:val="0F847DFE"/>
    <w:rsid w:val="0F917E25"/>
    <w:rsid w:val="0F9D4A1B"/>
    <w:rsid w:val="0FC84CA9"/>
    <w:rsid w:val="0FE70717"/>
    <w:rsid w:val="0FED59A3"/>
    <w:rsid w:val="0FEE56AA"/>
    <w:rsid w:val="0FF94348"/>
    <w:rsid w:val="10066A65"/>
    <w:rsid w:val="10282537"/>
    <w:rsid w:val="10284C2D"/>
    <w:rsid w:val="105E064F"/>
    <w:rsid w:val="10923E54"/>
    <w:rsid w:val="10B143D3"/>
    <w:rsid w:val="10BE4C49"/>
    <w:rsid w:val="10CF50A9"/>
    <w:rsid w:val="11072A94"/>
    <w:rsid w:val="11427629"/>
    <w:rsid w:val="11AC7198"/>
    <w:rsid w:val="11C40985"/>
    <w:rsid w:val="11E60994"/>
    <w:rsid w:val="1219704D"/>
    <w:rsid w:val="12266F4A"/>
    <w:rsid w:val="12443CB0"/>
    <w:rsid w:val="126134D7"/>
    <w:rsid w:val="129812A0"/>
    <w:rsid w:val="129A3494"/>
    <w:rsid w:val="12A22198"/>
    <w:rsid w:val="12E56E05"/>
    <w:rsid w:val="12FC3D95"/>
    <w:rsid w:val="130C2CC8"/>
    <w:rsid w:val="133826AD"/>
    <w:rsid w:val="13417A40"/>
    <w:rsid w:val="13695C36"/>
    <w:rsid w:val="137B1518"/>
    <w:rsid w:val="13A973B3"/>
    <w:rsid w:val="13CA1B57"/>
    <w:rsid w:val="13FA41EA"/>
    <w:rsid w:val="14757D15"/>
    <w:rsid w:val="14AB7BDB"/>
    <w:rsid w:val="15202377"/>
    <w:rsid w:val="15652DAA"/>
    <w:rsid w:val="156D4E90"/>
    <w:rsid w:val="158521DA"/>
    <w:rsid w:val="158A5A42"/>
    <w:rsid w:val="158C1F5E"/>
    <w:rsid w:val="158F12AA"/>
    <w:rsid w:val="1592214C"/>
    <w:rsid w:val="159764DF"/>
    <w:rsid w:val="15C24D38"/>
    <w:rsid w:val="15D20A11"/>
    <w:rsid w:val="15F01D49"/>
    <w:rsid w:val="162D3A88"/>
    <w:rsid w:val="166938A9"/>
    <w:rsid w:val="174340FA"/>
    <w:rsid w:val="17676F91"/>
    <w:rsid w:val="17936E30"/>
    <w:rsid w:val="179A697F"/>
    <w:rsid w:val="17A50E90"/>
    <w:rsid w:val="17AF1790"/>
    <w:rsid w:val="17C70CA6"/>
    <w:rsid w:val="17DB07D7"/>
    <w:rsid w:val="181E2472"/>
    <w:rsid w:val="18363C5F"/>
    <w:rsid w:val="183C1D65"/>
    <w:rsid w:val="183D0B4A"/>
    <w:rsid w:val="18542956"/>
    <w:rsid w:val="18561C0B"/>
    <w:rsid w:val="18624A54"/>
    <w:rsid w:val="187C78C4"/>
    <w:rsid w:val="1882255F"/>
    <w:rsid w:val="18972950"/>
    <w:rsid w:val="189A0EF5"/>
    <w:rsid w:val="18A922AD"/>
    <w:rsid w:val="18B14505"/>
    <w:rsid w:val="18B52DD6"/>
    <w:rsid w:val="190A1374"/>
    <w:rsid w:val="19102702"/>
    <w:rsid w:val="1928565C"/>
    <w:rsid w:val="194A5C14"/>
    <w:rsid w:val="19595E57"/>
    <w:rsid w:val="196B7938"/>
    <w:rsid w:val="19D1065C"/>
    <w:rsid w:val="19F56590"/>
    <w:rsid w:val="1A616C76"/>
    <w:rsid w:val="1A687E74"/>
    <w:rsid w:val="1A86011F"/>
    <w:rsid w:val="1A8D209C"/>
    <w:rsid w:val="1AA17AB6"/>
    <w:rsid w:val="1AB377E9"/>
    <w:rsid w:val="1AF5570C"/>
    <w:rsid w:val="1AFA0F74"/>
    <w:rsid w:val="1B067919"/>
    <w:rsid w:val="1B2E0C1E"/>
    <w:rsid w:val="1B375D24"/>
    <w:rsid w:val="1B46240B"/>
    <w:rsid w:val="1B4B367E"/>
    <w:rsid w:val="1B5E1503"/>
    <w:rsid w:val="1B61294A"/>
    <w:rsid w:val="1B8D003A"/>
    <w:rsid w:val="1BC962BD"/>
    <w:rsid w:val="1BCA00BC"/>
    <w:rsid w:val="1C2414FD"/>
    <w:rsid w:val="1C2A3ADB"/>
    <w:rsid w:val="1C365FDC"/>
    <w:rsid w:val="1C393D1E"/>
    <w:rsid w:val="1C705992"/>
    <w:rsid w:val="1C84143D"/>
    <w:rsid w:val="1C8B457A"/>
    <w:rsid w:val="1CC730D8"/>
    <w:rsid w:val="1CF540E9"/>
    <w:rsid w:val="1D2147FC"/>
    <w:rsid w:val="1D33076D"/>
    <w:rsid w:val="1D5D65BD"/>
    <w:rsid w:val="1D701282"/>
    <w:rsid w:val="1DC064A5"/>
    <w:rsid w:val="1DDF4451"/>
    <w:rsid w:val="1DE877AA"/>
    <w:rsid w:val="1E171E3D"/>
    <w:rsid w:val="1E95623E"/>
    <w:rsid w:val="1EB15448"/>
    <w:rsid w:val="1EC12E59"/>
    <w:rsid w:val="1ED9302F"/>
    <w:rsid w:val="1EDC7F5E"/>
    <w:rsid w:val="1EF74148"/>
    <w:rsid w:val="1F022AED"/>
    <w:rsid w:val="1F2E5690"/>
    <w:rsid w:val="1F4E188E"/>
    <w:rsid w:val="1F5275D0"/>
    <w:rsid w:val="1F542B10"/>
    <w:rsid w:val="1F5D7D23"/>
    <w:rsid w:val="1F842C32"/>
    <w:rsid w:val="2027184D"/>
    <w:rsid w:val="20286D02"/>
    <w:rsid w:val="2031143A"/>
    <w:rsid w:val="205729C5"/>
    <w:rsid w:val="20670E5A"/>
    <w:rsid w:val="20781741"/>
    <w:rsid w:val="20827A42"/>
    <w:rsid w:val="20E06E5E"/>
    <w:rsid w:val="20F12E19"/>
    <w:rsid w:val="20FB5A46"/>
    <w:rsid w:val="21562C7C"/>
    <w:rsid w:val="21611D4D"/>
    <w:rsid w:val="216968A8"/>
    <w:rsid w:val="21717AB6"/>
    <w:rsid w:val="219A0DBB"/>
    <w:rsid w:val="219C0FD7"/>
    <w:rsid w:val="21A954A2"/>
    <w:rsid w:val="21BF7C5C"/>
    <w:rsid w:val="21D249F9"/>
    <w:rsid w:val="21DC7625"/>
    <w:rsid w:val="21EF66E7"/>
    <w:rsid w:val="220B7F0B"/>
    <w:rsid w:val="2238786B"/>
    <w:rsid w:val="22461303"/>
    <w:rsid w:val="225E003A"/>
    <w:rsid w:val="22623FCE"/>
    <w:rsid w:val="22631AF5"/>
    <w:rsid w:val="22644A35"/>
    <w:rsid w:val="226D47DF"/>
    <w:rsid w:val="226E2973"/>
    <w:rsid w:val="22912B52"/>
    <w:rsid w:val="22941CAE"/>
    <w:rsid w:val="229B128E"/>
    <w:rsid w:val="229C7A83"/>
    <w:rsid w:val="22C407E5"/>
    <w:rsid w:val="22E569AE"/>
    <w:rsid w:val="23386ADD"/>
    <w:rsid w:val="23476D20"/>
    <w:rsid w:val="23482098"/>
    <w:rsid w:val="237C10C0"/>
    <w:rsid w:val="2398757C"/>
    <w:rsid w:val="239F4DAE"/>
    <w:rsid w:val="23D04F68"/>
    <w:rsid w:val="241D3996"/>
    <w:rsid w:val="24376D95"/>
    <w:rsid w:val="243A5492"/>
    <w:rsid w:val="246C40B0"/>
    <w:rsid w:val="24881634"/>
    <w:rsid w:val="248E1FF5"/>
    <w:rsid w:val="248F4E23"/>
    <w:rsid w:val="249B154A"/>
    <w:rsid w:val="24AE15FD"/>
    <w:rsid w:val="24BB1774"/>
    <w:rsid w:val="25012FE0"/>
    <w:rsid w:val="250E5D48"/>
    <w:rsid w:val="251F40F9"/>
    <w:rsid w:val="25200C11"/>
    <w:rsid w:val="25207829"/>
    <w:rsid w:val="25C767FB"/>
    <w:rsid w:val="25F211C5"/>
    <w:rsid w:val="25F82554"/>
    <w:rsid w:val="25FC0BA2"/>
    <w:rsid w:val="260B672B"/>
    <w:rsid w:val="26154EB4"/>
    <w:rsid w:val="261E645E"/>
    <w:rsid w:val="26357304"/>
    <w:rsid w:val="264D464E"/>
    <w:rsid w:val="26597496"/>
    <w:rsid w:val="26743C3F"/>
    <w:rsid w:val="26995AE5"/>
    <w:rsid w:val="26AF6C27"/>
    <w:rsid w:val="26DA3F62"/>
    <w:rsid w:val="26FE003E"/>
    <w:rsid w:val="27181100"/>
    <w:rsid w:val="27304B5C"/>
    <w:rsid w:val="27513904"/>
    <w:rsid w:val="27802801"/>
    <w:rsid w:val="279F712B"/>
    <w:rsid w:val="27A04C51"/>
    <w:rsid w:val="27C44DE4"/>
    <w:rsid w:val="27CC2E57"/>
    <w:rsid w:val="27E70BDD"/>
    <w:rsid w:val="280E605F"/>
    <w:rsid w:val="287265EE"/>
    <w:rsid w:val="287A56DC"/>
    <w:rsid w:val="28C130D1"/>
    <w:rsid w:val="28F90ABD"/>
    <w:rsid w:val="29126976"/>
    <w:rsid w:val="291D3FA7"/>
    <w:rsid w:val="29345F99"/>
    <w:rsid w:val="29600F75"/>
    <w:rsid w:val="2987431B"/>
    <w:rsid w:val="29D64538"/>
    <w:rsid w:val="29DC2F7B"/>
    <w:rsid w:val="2A41271B"/>
    <w:rsid w:val="2AA1140C"/>
    <w:rsid w:val="2AA84549"/>
    <w:rsid w:val="2B2362C5"/>
    <w:rsid w:val="2B2F3EE2"/>
    <w:rsid w:val="2B910E6C"/>
    <w:rsid w:val="2BC37274"/>
    <w:rsid w:val="2BEA76E4"/>
    <w:rsid w:val="2C0E487F"/>
    <w:rsid w:val="2C2B5431"/>
    <w:rsid w:val="2C3F7432"/>
    <w:rsid w:val="2C484235"/>
    <w:rsid w:val="2C6A01D7"/>
    <w:rsid w:val="2C9E73AD"/>
    <w:rsid w:val="2CA046E0"/>
    <w:rsid w:val="2CD94E8D"/>
    <w:rsid w:val="2D0004F7"/>
    <w:rsid w:val="2D0B5263"/>
    <w:rsid w:val="2D1F071D"/>
    <w:rsid w:val="2D216834"/>
    <w:rsid w:val="2D6A0110"/>
    <w:rsid w:val="2DA07759"/>
    <w:rsid w:val="2E352597"/>
    <w:rsid w:val="2E411997"/>
    <w:rsid w:val="2E424CB4"/>
    <w:rsid w:val="2E690F6A"/>
    <w:rsid w:val="2EBB54F1"/>
    <w:rsid w:val="2EBD258D"/>
    <w:rsid w:val="2F3A598B"/>
    <w:rsid w:val="2F4B1946"/>
    <w:rsid w:val="2F5E2EB5"/>
    <w:rsid w:val="2FBE7946"/>
    <w:rsid w:val="2FDF3977"/>
    <w:rsid w:val="300A35B0"/>
    <w:rsid w:val="3013464F"/>
    <w:rsid w:val="30874C00"/>
    <w:rsid w:val="309A4933"/>
    <w:rsid w:val="30B7579D"/>
    <w:rsid w:val="30C7002C"/>
    <w:rsid w:val="30E55C6D"/>
    <w:rsid w:val="310A7126"/>
    <w:rsid w:val="31327262"/>
    <w:rsid w:val="31434FCB"/>
    <w:rsid w:val="314A45AB"/>
    <w:rsid w:val="314C5EBF"/>
    <w:rsid w:val="315F5C32"/>
    <w:rsid w:val="317119AA"/>
    <w:rsid w:val="31813D45"/>
    <w:rsid w:val="31853836"/>
    <w:rsid w:val="31892BC8"/>
    <w:rsid w:val="318C5758"/>
    <w:rsid w:val="31973569"/>
    <w:rsid w:val="31994BEB"/>
    <w:rsid w:val="31AA329C"/>
    <w:rsid w:val="31D125D7"/>
    <w:rsid w:val="31E71DFA"/>
    <w:rsid w:val="31F761BC"/>
    <w:rsid w:val="32452FC5"/>
    <w:rsid w:val="324E741C"/>
    <w:rsid w:val="32544FB6"/>
    <w:rsid w:val="32C43EEA"/>
    <w:rsid w:val="32DA195F"/>
    <w:rsid w:val="32F347CF"/>
    <w:rsid w:val="332D5F33"/>
    <w:rsid w:val="33426207"/>
    <w:rsid w:val="335017FC"/>
    <w:rsid w:val="33613E2E"/>
    <w:rsid w:val="33661445"/>
    <w:rsid w:val="33830490"/>
    <w:rsid w:val="33850849"/>
    <w:rsid w:val="33A52C60"/>
    <w:rsid w:val="33EA5BD2"/>
    <w:rsid w:val="33F05F21"/>
    <w:rsid w:val="33F425AD"/>
    <w:rsid w:val="33F46A50"/>
    <w:rsid w:val="34792401"/>
    <w:rsid w:val="34AD15E3"/>
    <w:rsid w:val="34AE30A3"/>
    <w:rsid w:val="34FC48F2"/>
    <w:rsid w:val="351248F9"/>
    <w:rsid w:val="353F3CFB"/>
    <w:rsid w:val="35454038"/>
    <w:rsid w:val="3550415A"/>
    <w:rsid w:val="358856A2"/>
    <w:rsid w:val="35E44DA6"/>
    <w:rsid w:val="360867E3"/>
    <w:rsid w:val="362B4280"/>
    <w:rsid w:val="36392E40"/>
    <w:rsid w:val="36455341"/>
    <w:rsid w:val="36716136"/>
    <w:rsid w:val="36A209E6"/>
    <w:rsid w:val="36B85B13"/>
    <w:rsid w:val="36D641AB"/>
    <w:rsid w:val="36DA0180"/>
    <w:rsid w:val="36E3632A"/>
    <w:rsid w:val="36FF7BE6"/>
    <w:rsid w:val="37171BA5"/>
    <w:rsid w:val="374145CC"/>
    <w:rsid w:val="37492C0F"/>
    <w:rsid w:val="374C6178"/>
    <w:rsid w:val="378C6358"/>
    <w:rsid w:val="37A23C7A"/>
    <w:rsid w:val="37A70E90"/>
    <w:rsid w:val="37D050DF"/>
    <w:rsid w:val="37E82428"/>
    <w:rsid w:val="37ED5C91"/>
    <w:rsid w:val="37FC4761"/>
    <w:rsid w:val="3809239F"/>
    <w:rsid w:val="380B25BB"/>
    <w:rsid w:val="38196A86"/>
    <w:rsid w:val="38233460"/>
    <w:rsid w:val="382673F4"/>
    <w:rsid w:val="38332D42"/>
    <w:rsid w:val="384004B6"/>
    <w:rsid w:val="384A3969"/>
    <w:rsid w:val="38787C50"/>
    <w:rsid w:val="38886367"/>
    <w:rsid w:val="38B16CBE"/>
    <w:rsid w:val="38B36EDA"/>
    <w:rsid w:val="38B7004D"/>
    <w:rsid w:val="38CC58A6"/>
    <w:rsid w:val="39241B86"/>
    <w:rsid w:val="39273949"/>
    <w:rsid w:val="39381E27"/>
    <w:rsid w:val="395A1104"/>
    <w:rsid w:val="396E7D41"/>
    <w:rsid w:val="399C171C"/>
    <w:rsid w:val="39B27192"/>
    <w:rsid w:val="39C649EB"/>
    <w:rsid w:val="3A2B484E"/>
    <w:rsid w:val="3AA36E31"/>
    <w:rsid w:val="3AC05A65"/>
    <w:rsid w:val="3AE55345"/>
    <w:rsid w:val="3B9711C1"/>
    <w:rsid w:val="3BDC310C"/>
    <w:rsid w:val="3BDC6748"/>
    <w:rsid w:val="3BF8167C"/>
    <w:rsid w:val="3BFD2B17"/>
    <w:rsid w:val="3C0637C5"/>
    <w:rsid w:val="3C102D88"/>
    <w:rsid w:val="3C271DD9"/>
    <w:rsid w:val="3C2D0D52"/>
    <w:rsid w:val="3C5479FD"/>
    <w:rsid w:val="3C7A2CC2"/>
    <w:rsid w:val="3C886DBE"/>
    <w:rsid w:val="3CC72F54"/>
    <w:rsid w:val="3CF74EBC"/>
    <w:rsid w:val="3D1B6DFC"/>
    <w:rsid w:val="3D3838EB"/>
    <w:rsid w:val="3D440617"/>
    <w:rsid w:val="3D6C6FBD"/>
    <w:rsid w:val="3D6E33D0"/>
    <w:rsid w:val="3DC15BF5"/>
    <w:rsid w:val="3E4D56DB"/>
    <w:rsid w:val="3E62651A"/>
    <w:rsid w:val="3E906922"/>
    <w:rsid w:val="3EC040FF"/>
    <w:rsid w:val="3EEB463E"/>
    <w:rsid w:val="3F0833B0"/>
    <w:rsid w:val="3F2307D5"/>
    <w:rsid w:val="3F312907"/>
    <w:rsid w:val="3F3B3785"/>
    <w:rsid w:val="3F52287D"/>
    <w:rsid w:val="3F5900B0"/>
    <w:rsid w:val="3F880B94"/>
    <w:rsid w:val="3F9133A5"/>
    <w:rsid w:val="3FAC6431"/>
    <w:rsid w:val="3FB43EC0"/>
    <w:rsid w:val="3FF41841"/>
    <w:rsid w:val="400D038D"/>
    <w:rsid w:val="40130737"/>
    <w:rsid w:val="40170A2B"/>
    <w:rsid w:val="402734F5"/>
    <w:rsid w:val="4055553D"/>
    <w:rsid w:val="4061546E"/>
    <w:rsid w:val="409475F1"/>
    <w:rsid w:val="40A315E2"/>
    <w:rsid w:val="40A8309D"/>
    <w:rsid w:val="410C362B"/>
    <w:rsid w:val="41764F49"/>
    <w:rsid w:val="41A33F03"/>
    <w:rsid w:val="41CC5A82"/>
    <w:rsid w:val="420B38E3"/>
    <w:rsid w:val="4214625A"/>
    <w:rsid w:val="42593778"/>
    <w:rsid w:val="425C5EED"/>
    <w:rsid w:val="42725710"/>
    <w:rsid w:val="42892A5A"/>
    <w:rsid w:val="42A94EAA"/>
    <w:rsid w:val="42B555FD"/>
    <w:rsid w:val="42DD73D7"/>
    <w:rsid w:val="42E94F55"/>
    <w:rsid w:val="43010842"/>
    <w:rsid w:val="43076734"/>
    <w:rsid w:val="431C742A"/>
    <w:rsid w:val="432A704A"/>
    <w:rsid w:val="43415DEF"/>
    <w:rsid w:val="436A7F73"/>
    <w:rsid w:val="437C436D"/>
    <w:rsid w:val="43AD7F2B"/>
    <w:rsid w:val="43EC32A0"/>
    <w:rsid w:val="440E76BA"/>
    <w:rsid w:val="440F4264"/>
    <w:rsid w:val="44114AAB"/>
    <w:rsid w:val="441C55D2"/>
    <w:rsid w:val="442532A3"/>
    <w:rsid w:val="443A4603"/>
    <w:rsid w:val="44764BDD"/>
    <w:rsid w:val="44854976"/>
    <w:rsid w:val="44A26055"/>
    <w:rsid w:val="44DF3B41"/>
    <w:rsid w:val="44FF7003"/>
    <w:rsid w:val="451A208F"/>
    <w:rsid w:val="451F06B1"/>
    <w:rsid w:val="45356EC9"/>
    <w:rsid w:val="45714E4B"/>
    <w:rsid w:val="458D460F"/>
    <w:rsid w:val="45AA5217"/>
    <w:rsid w:val="45C55A17"/>
    <w:rsid w:val="45C875E6"/>
    <w:rsid w:val="45D64208"/>
    <w:rsid w:val="460B7C0D"/>
    <w:rsid w:val="461D5993"/>
    <w:rsid w:val="46460837"/>
    <w:rsid w:val="464A386A"/>
    <w:rsid w:val="46603C1E"/>
    <w:rsid w:val="46713F31"/>
    <w:rsid w:val="468A0B4E"/>
    <w:rsid w:val="46AB7682"/>
    <w:rsid w:val="46BD0F24"/>
    <w:rsid w:val="46C80F8B"/>
    <w:rsid w:val="471B04A0"/>
    <w:rsid w:val="472F1E22"/>
    <w:rsid w:val="472F3849"/>
    <w:rsid w:val="47330814"/>
    <w:rsid w:val="474D674C"/>
    <w:rsid w:val="47527019"/>
    <w:rsid w:val="475F3D89"/>
    <w:rsid w:val="47633879"/>
    <w:rsid w:val="47653A95"/>
    <w:rsid w:val="47925F0D"/>
    <w:rsid w:val="47BF4A0B"/>
    <w:rsid w:val="47CF0F0F"/>
    <w:rsid w:val="47F340D8"/>
    <w:rsid w:val="48205C0E"/>
    <w:rsid w:val="486C49B0"/>
    <w:rsid w:val="48A8612B"/>
    <w:rsid w:val="48C90054"/>
    <w:rsid w:val="48D23CDC"/>
    <w:rsid w:val="48DE7340"/>
    <w:rsid w:val="48E551D8"/>
    <w:rsid w:val="48F6071D"/>
    <w:rsid w:val="49001786"/>
    <w:rsid w:val="49042E3A"/>
    <w:rsid w:val="498B5309"/>
    <w:rsid w:val="49AB7FAE"/>
    <w:rsid w:val="49B02FC2"/>
    <w:rsid w:val="49B546BE"/>
    <w:rsid w:val="49C600F0"/>
    <w:rsid w:val="49DB408F"/>
    <w:rsid w:val="49F41101"/>
    <w:rsid w:val="4A047446"/>
    <w:rsid w:val="4A190B67"/>
    <w:rsid w:val="4A2C2648"/>
    <w:rsid w:val="4A5B29CA"/>
    <w:rsid w:val="4A9F72BE"/>
    <w:rsid w:val="4AE44CD1"/>
    <w:rsid w:val="4AF3760A"/>
    <w:rsid w:val="4B5217BF"/>
    <w:rsid w:val="4B9A1834"/>
    <w:rsid w:val="4BA00B44"/>
    <w:rsid w:val="4BB24DCF"/>
    <w:rsid w:val="4BC32B39"/>
    <w:rsid w:val="4BC93EC7"/>
    <w:rsid w:val="4BDB2578"/>
    <w:rsid w:val="4C3253C8"/>
    <w:rsid w:val="4C3752D5"/>
    <w:rsid w:val="4C4F1FEA"/>
    <w:rsid w:val="4C653BF0"/>
    <w:rsid w:val="4C8921B5"/>
    <w:rsid w:val="4C8A18A8"/>
    <w:rsid w:val="4C9E69ED"/>
    <w:rsid w:val="4CB77C61"/>
    <w:rsid w:val="4CE81047"/>
    <w:rsid w:val="4CEE0089"/>
    <w:rsid w:val="4D0855C9"/>
    <w:rsid w:val="4D0E4287"/>
    <w:rsid w:val="4D2E2B7B"/>
    <w:rsid w:val="4D5819D7"/>
    <w:rsid w:val="4D682B58"/>
    <w:rsid w:val="4D8155C9"/>
    <w:rsid w:val="4DAE4BFA"/>
    <w:rsid w:val="4DBE3EFF"/>
    <w:rsid w:val="4E0F475B"/>
    <w:rsid w:val="4E3C4E24"/>
    <w:rsid w:val="4ECA0682"/>
    <w:rsid w:val="4ED24BC6"/>
    <w:rsid w:val="4EE708F2"/>
    <w:rsid w:val="4F4D02EA"/>
    <w:rsid w:val="4F74239C"/>
    <w:rsid w:val="4F786330"/>
    <w:rsid w:val="4F844CD5"/>
    <w:rsid w:val="4F870047"/>
    <w:rsid w:val="500E459E"/>
    <w:rsid w:val="5043693E"/>
    <w:rsid w:val="50446212"/>
    <w:rsid w:val="50483F54"/>
    <w:rsid w:val="50C11611"/>
    <w:rsid w:val="50C75435"/>
    <w:rsid w:val="514249F8"/>
    <w:rsid w:val="51447334"/>
    <w:rsid w:val="516052CE"/>
    <w:rsid w:val="518F170F"/>
    <w:rsid w:val="521F6E3F"/>
    <w:rsid w:val="5233653E"/>
    <w:rsid w:val="52397FF8"/>
    <w:rsid w:val="524767E6"/>
    <w:rsid w:val="525536BD"/>
    <w:rsid w:val="52614E59"/>
    <w:rsid w:val="52667EA9"/>
    <w:rsid w:val="528271A9"/>
    <w:rsid w:val="529E042C"/>
    <w:rsid w:val="531B5950"/>
    <w:rsid w:val="533F3D6F"/>
    <w:rsid w:val="53440988"/>
    <w:rsid w:val="5356216E"/>
    <w:rsid w:val="535A6478"/>
    <w:rsid w:val="537D2167"/>
    <w:rsid w:val="53935A28"/>
    <w:rsid w:val="53BE4DEB"/>
    <w:rsid w:val="53EC4BF7"/>
    <w:rsid w:val="545E5E2E"/>
    <w:rsid w:val="54911EB2"/>
    <w:rsid w:val="54A53299"/>
    <w:rsid w:val="54CA13DC"/>
    <w:rsid w:val="54CA24C8"/>
    <w:rsid w:val="551C150B"/>
    <w:rsid w:val="55320D2F"/>
    <w:rsid w:val="554E1D36"/>
    <w:rsid w:val="555111B5"/>
    <w:rsid w:val="55517407"/>
    <w:rsid w:val="5577410B"/>
    <w:rsid w:val="55BD2CEE"/>
    <w:rsid w:val="55F63F9C"/>
    <w:rsid w:val="564A39F3"/>
    <w:rsid w:val="57016C0B"/>
    <w:rsid w:val="57376AD1"/>
    <w:rsid w:val="573C40E7"/>
    <w:rsid w:val="574A6804"/>
    <w:rsid w:val="57552B9B"/>
    <w:rsid w:val="57725171"/>
    <w:rsid w:val="578C4726"/>
    <w:rsid w:val="57A72FD0"/>
    <w:rsid w:val="57BF2D4E"/>
    <w:rsid w:val="57F66044"/>
    <w:rsid w:val="57FA1920"/>
    <w:rsid w:val="58496ABB"/>
    <w:rsid w:val="585A055F"/>
    <w:rsid w:val="585A4825"/>
    <w:rsid w:val="58825B29"/>
    <w:rsid w:val="58975289"/>
    <w:rsid w:val="58A310F9"/>
    <w:rsid w:val="58A3441E"/>
    <w:rsid w:val="58B303D9"/>
    <w:rsid w:val="58C6010C"/>
    <w:rsid w:val="58DE0123"/>
    <w:rsid w:val="58E82A8F"/>
    <w:rsid w:val="59096B52"/>
    <w:rsid w:val="592F3DA3"/>
    <w:rsid w:val="595B3176"/>
    <w:rsid w:val="59C52D69"/>
    <w:rsid w:val="59E20F76"/>
    <w:rsid w:val="5A541262"/>
    <w:rsid w:val="5A8262B5"/>
    <w:rsid w:val="5A897643"/>
    <w:rsid w:val="5AAE1597"/>
    <w:rsid w:val="5AB741B0"/>
    <w:rsid w:val="5AC57B92"/>
    <w:rsid w:val="5ACC1BA8"/>
    <w:rsid w:val="5AF1353F"/>
    <w:rsid w:val="5AF63C99"/>
    <w:rsid w:val="5B40157A"/>
    <w:rsid w:val="5B4F4085"/>
    <w:rsid w:val="5B70435F"/>
    <w:rsid w:val="5B9163B2"/>
    <w:rsid w:val="5BA54009"/>
    <w:rsid w:val="5BB4249E"/>
    <w:rsid w:val="5BDE576D"/>
    <w:rsid w:val="5BE03293"/>
    <w:rsid w:val="5BEA2363"/>
    <w:rsid w:val="5BF7509C"/>
    <w:rsid w:val="5BF84A80"/>
    <w:rsid w:val="5C0056E3"/>
    <w:rsid w:val="5C053ED1"/>
    <w:rsid w:val="5C07081F"/>
    <w:rsid w:val="5C0F5926"/>
    <w:rsid w:val="5C1318BA"/>
    <w:rsid w:val="5C26658E"/>
    <w:rsid w:val="5C270FFD"/>
    <w:rsid w:val="5C902F0B"/>
    <w:rsid w:val="5CA87CB0"/>
    <w:rsid w:val="5CD24B4A"/>
    <w:rsid w:val="5CDD3C76"/>
    <w:rsid w:val="5CDF79EE"/>
    <w:rsid w:val="5CEB5E28"/>
    <w:rsid w:val="5D0336DD"/>
    <w:rsid w:val="5D047455"/>
    <w:rsid w:val="5D5061F6"/>
    <w:rsid w:val="5D777AC6"/>
    <w:rsid w:val="5DE208AF"/>
    <w:rsid w:val="5DEB095A"/>
    <w:rsid w:val="5DF63241"/>
    <w:rsid w:val="5E7D301B"/>
    <w:rsid w:val="5E857DF1"/>
    <w:rsid w:val="5E8A3960"/>
    <w:rsid w:val="5E8C325E"/>
    <w:rsid w:val="5E8E0AFC"/>
    <w:rsid w:val="5EBF3633"/>
    <w:rsid w:val="5ECC7AFE"/>
    <w:rsid w:val="5EFF7ED4"/>
    <w:rsid w:val="5F1A4D0E"/>
    <w:rsid w:val="5F521F20"/>
    <w:rsid w:val="5F7106E0"/>
    <w:rsid w:val="5FF53085"/>
    <w:rsid w:val="600C1235"/>
    <w:rsid w:val="600C13D3"/>
    <w:rsid w:val="60107EBF"/>
    <w:rsid w:val="601F7B6B"/>
    <w:rsid w:val="603F67F7"/>
    <w:rsid w:val="60402552"/>
    <w:rsid w:val="60695F4D"/>
    <w:rsid w:val="607C15BD"/>
    <w:rsid w:val="612475E3"/>
    <w:rsid w:val="61363955"/>
    <w:rsid w:val="613F6CAD"/>
    <w:rsid w:val="617E21B8"/>
    <w:rsid w:val="61834DEC"/>
    <w:rsid w:val="61994DCA"/>
    <w:rsid w:val="61DE0274"/>
    <w:rsid w:val="61E33ADD"/>
    <w:rsid w:val="61FC4B9F"/>
    <w:rsid w:val="62481B92"/>
    <w:rsid w:val="6283706E"/>
    <w:rsid w:val="62A626FF"/>
    <w:rsid w:val="62AE40EB"/>
    <w:rsid w:val="62E96ED1"/>
    <w:rsid w:val="630C7063"/>
    <w:rsid w:val="63116428"/>
    <w:rsid w:val="632717A7"/>
    <w:rsid w:val="634123B9"/>
    <w:rsid w:val="635D7F9A"/>
    <w:rsid w:val="63901A42"/>
    <w:rsid w:val="639826A5"/>
    <w:rsid w:val="639E5E8D"/>
    <w:rsid w:val="63C90AB0"/>
    <w:rsid w:val="63F70BB9"/>
    <w:rsid w:val="6401024A"/>
    <w:rsid w:val="64045077"/>
    <w:rsid w:val="649202FC"/>
    <w:rsid w:val="649317EA"/>
    <w:rsid w:val="649C4FC8"/>
    <w:rsid w:val="64AA1028"/>
    <w:rsid w:val="64C32B9E"/>
    <w:rsid w:val="64F1206D"/>
    <w:rsid w:val="64FB738F"/>
    <w:rsid w:val="650D1E1A"/>
    <w:rsid w:val="652452FD"/>
    <w:rsid w:val="652E102B"/>
    <w:rsid w:val="653F54CE"/>
    <w:rsid w:val="6554275D"/>
    <w:rsid w:val="65613696"/>
    <w:rsid w:val="65644F35"/>
    <w:rsid w:val="656B2BFC"/>
    <w:rsid w:val="65757142"/>
    <w:rsid w:val="65B25CA0"/>
    <w:rsid w:val="65C7198A"/>
    <w:rsid w:val="65D8322D"/>
    <w:rsid w:val="65EE18C6"/>
    <w:rsid w:val="660D6A8A"/>
    <w:rsid w:val="66377F53"/>
    <w:rsid w:val="665925BF"/>
    <w:rsid w:val="667353AA"/>
    <w:rsid w:val="66835660"/>
    <w:rsid w:val="66990E81"/>
    <w:rsid w:val="66D809FC"/>
    <w:rsid w:val="66FA0E20"/>
    <w:rsid w:val="66FB3677"/>
    <w:rsid w:val="67010561"/>
    <w:rsid w:val="671D183F"/>
    <w:rsid w:val="672F748D"/>
    <w:rsid w:val="673770A5"/>
    <w:rsid w:val="674B52A8"/>
    <w:rsid w:val="67674868"/>
    <w:rsid w:val="67F04061"/>
    <w:rsid w:val="67F84EDB"/>
    <w:rsid w:val="6853276C"/>
    <w:rsid w:val="68833924"/>
    <w:rsid w:val="68B9061B"/>
    <w:rsid w:val="68C574BF"/>
    <w:rsid w:val="68E21565"/>
    <w:rsid w:val="691B3B5C"/>
    <w:rsid w:val="696E6382"/>
    <w:rsid w:val="69913E1E"/>
    <w:rsid w:val="69AC2A06"/>
    <w:rsid w:val="69F751C4"/>
    <w:rsid w:val="6A3D32E5"/>
    <w:rsid w:val="6A5C442C"/>
    <w:rsid w:val="6A885221"/>
    <w:rsid w:val="6A8D2838"/>
    <w:rsid w:val="6A9C7BD0"/>
    <w:rsid w:val="6AD959DC"/>
    <w:rsid w:val="6B013226"/>
    <w:rsid w:val="6B041EDE"/>
    <w:rsid w:val="6B0D4881"/>
    <w:rsid w:val="6B0F76F1"/>
    <w:rsid w:val="6B3D24B0"/>
    <w:rsid w:val="6B4750DC"/>
    <w:rsid w:val="6B5B6883"/>
    <w:rsid w:val="6BBD539F"/>
    <w:rsid w:val="6BC009EB"/>
    <w:rsid w:val="6C0C5F81"/>
    <w:rsid w:val="6C215B5D"/>
    <w:rsid w:val="6C4258A4"/>
    <w:rsid w:val="6C861C34"/>
    <w:rsid w:val="6CA91055"/>
    <w:rsid w:val="6CB247D7"/>
    <w:rsid w:val="6D0B19EF"/>
    <w:rsid w:val="6D120B9C"/>
    <w:rsid w:val="6D30394E"/>
    <w:rsid w:val="6D5B5AAD"/>
    <w:rsid w:val="6D657A9C"/>
    <w:rsid w:val="6D756640"/>
    <w:rsid w:val="6DA06D26"/>
    <w:rsid w:val="6DC20A4A"/>
    <w:rsid w:val="6DCF4F15"/>
    <w:rsid w:val="6DD644F6"/>
    <w:rsid w:val="6DE94AFD"/>
    <w:rsid w:val="6DFE57FA"/>
    <w:rsid w:val="6E3B1A16"/>
    <w:rsid w:val="6E5F273D"/>
    <w:rsid w:val="6E71421E"/>
    <w:rsid w:val="6E7D2EF2"/>
    <w:rsid w:val="6E8201DA"/>
    <w:rsid w:val="6E9A3775"/>
    <w:rsid w:val="6EB06808"/>
    <w:rsid w:val="6EC30F1E"/>
    <w:rsid w:val="6EDD41DF"/>
    <w:rsid w:val="6F01097B"/>
    <w:rsid w:val="6F1A6664"/>
    <w:rsid w:val="6F2179F2"/>
    <w:rsid w:val="6F490CF7"/>
    <w:rsid w:val="6FA21A81"/>
    <w:rsid w:val="6FC62348"/>
    <w:rsid w:val="6FD26F3F"/>
    <w:rsid w:val="6FD902CD"/>
    <w:rsid w:val="6FFB46E7"/>
    <w:rsid w:val="70740235"/>
    <w:rsid w:val="70A703CB"/>
    <w:rsid w:val="70AB7EBB"/>
    <w:rsid w:val="70BD374B"/>
    <w:rsid w:val="70C1323B"/>
    <w:rsid w:val="70C40F7D"/>
    <w:rsid w:val="70F52EE5"/>
    <w:rsid w:val="71105F71"/>
    <w:rsid w:val="712E4649"/>
    <w:rsid w:val="713E0FAB"/>
    <w:rsid w:val="714A1482"/>
    <w:rsid w:val="7155456C"/>
    <w:rsid w:val="716F2C97"/>
    <w:rsid w:val="71780C2C"/>
    <w:rsid w:val="717D799E"/>
    <w:rsid w:val="718934D0"/>
    <w:rsid w:val="71922E29"/>
    <w:rsid w:val="71AB5C99"/>
    <w:rsid w:val="71C50B09"/>
    <w:rsid w:val="71CB4BFC"/>
    <w:rsid w:val="726A16B0"/>
    <w:rsid w:val="72CB65F3"/>
    <w:rsid w:val="72DB063F"/>
    <w:rsid w:val="72FAFE62"/>
    <w:rsid w:val="7318110C"/>
    <w:rsid w:val="73975F52"/>
    <w:rsid w:val="739E015D"/>
    <w:rsid w:val="73A76449"/>
    <w:rsid w:val="73C81944"/>
    <w:rsid w:val="73CB617F"/>
    <w:rsid w:val="73DF71BC"/>
    <w:rsid w:val="73E81A2A"/>
    <w:rsid w:val="73F92CEC"/>
    <w:rsid w:val="74143FCA"/>
    <w:rsid w:val="741B2C62"/>
    <w:rsid w:val="74212243"/>
    <w:rsid w:val="74257F85"/>
    <w:rsid w:val="74841FC7"/>
    <w:rsid w:val="748F20C9"/>
    <w:rsid w:val="74A54C22"/>
    <w:rsid w:val="74CA6436"/>
    <w:rsid w:val="74E474F8"/>
    <w:rsid w:val="752040CD"/>
    <w:rsid w:val="75355FA6"/>
    <w:rsid w:val="756271A7"/>
    <w:rsid w:val="75952EE8"/>
    <w:rsid w:val="75A924F0"/>
    <w:rsid w:val="75AD0232"/>
    <w:rsid w:val="75D67994"/>
    <w:rsid w:val="763077AC"/>
    <w:rsid w:val="76391077"/>
    <w:rsid w:val="7662101C"/>
    <w:rsid w:val="769A2A6C"/>
    <w:rsid w:val="769F4493"/>
    <w:rsid w:val="76AB4CF2"/>
    <w:rsid w:val="76CA7C63"/>
    <w:rsid w:val="7743169E"/>
    <w:rsid w:val="77770AF7"/>
    <w:rsid w:val="77A45E7B"/>
    <w:rsid w:val="77B04009"/>
    <w:rsid w:val="77C71871"/>
    <w:rsid w:val="77CD0717"/>
    <w:rsid w:val="77E65C7D"/>
    <w:rsid w:val="77FCC84B"/>
    <w:rsid w:val="781A59E5"/>
    <w:rsid w:val="782F740A"/>
    <w:rsid w:val="785B3F75"/>
    <w:rsid w:val="785D5F3F"/>
    <w:rsid w:val="786170B2"/>
    <w:rsid w:val="7873599D"/>
    <w:rsid w:val="78994A9D"/>
    <w:rsid w:val="78A05156"/>
    <w:rsid w:val="78A53442"/>
    <w:rsid w:val="78B611AB"/>
    <w:rsid w:val="78EA354B"/>
    <w:rsid w:val="793547C6"/>
    <w:rsid w:val="79A27982"/>
    <w:rsid w:val="79C8563A"/>
    <w:rsid w:val="79FB1C4C"/>
    <w:rsid w:val="7A0447E1"/>
    <w:rsid w:val="7A1E16FE"/>
    <w:rsid w:val="7A431165"/>
    <w:rsid w:val="7A884DCA"/>
    <w:rsid w:val="7AB60356"/>
    <w:rsid w:val="7ABE6A3D"/>
    <w:rsid w:val="7ADB4325"/>
    <w:rsid w:val="7AE00762"/>
    <w:rsid w:val="7AE446F6"/>
    <w:rsid w:val="7AF83CFD"/>
    <w:rsid w:val="7B055127"/>
    <w:rsid w:val="7B1A0118"/>
    <w:rsid w:val="7B2512BD"/>
    <w:rsid w:val="7B486307"/>
    <w:rsid w:val="7B4A538E"/>
    <w:rsid w:val="7B705F89"/>
    <w:rsid w:val="7B8E3089"/>
    <w:rsid w:val="7BA43E85"/>
    <w:rsid w:val="7BA7652E"/>
    <w:rsid w:val="7BAE235A"/>
    <w:rsid w:val="7BBD0AA3"/>
    <w:rsid w:val="7BD858DD"/>
    <w:rsid w:val="7C014E34"/>
    <w:rsid w:val="7C1D7794"/>
    <w:rsid w:val="7C4405EC"/>
    <w:rsid w:val="7C530CF6"/>
    <w:rsid w:val="7C5B09E8"/>
    <w:rsid w:val="7CBA4FE2"/>
    <w:rsid w:val="7CE65DD7"/>
    <w:rsid w:val="7D056BA5"/>
    <w:rsid w:val="7D1A0699"/>
    <w:rsid w:val="7D366D5F"/>
    <w:rsid w:val="7D5F62B6"/>
    <w:rsid w:val="7D60429B"/>
    <w:rsid w:val="7D776603"/>
    <w:rsid w:val="7D7A23D7"/>
    <w:rsid w:val="7DAA1493"/>
    <w:rsid w:val="7DC425BD"/>
    <w:rsid w:val="7DD95482"/>
    <w:rsid w:val="7E1150D6"/>
    <w:rsid w:val="7E222C4E"/>
    <w:rsid w:val="7E2370EA"/>
    <w:rsid w:val="7E2C6E5F"/>
    <w:rsid w:val="7E2D6A5C"/>
    <w:rsid w:val="7E3E411D"/>
    <w:rsid w:val="7E7AE10F"/>
    <w:rsid w:val="7E8B30DA"/>
    <w:rsid w:val="7EAB552B"/>
    <w:rsid w:val="7ECD36F3"/>
    <w:rsid w:val="7ED305B1"/>
    <w:rsid w:val="7F0203A5"/>
    <w:rsid w:val="7F3B240A"/>
    <w:rsid w:val="7F5259A6"/>
    <w:rsid w:val="7F5C05D3"/>
    <w:rsid w:val="7F6F2E34"/>
    <w:rsid w:val="7F8C2C66"/>
    <w:rsid w:val="7FC636AB"/>
    <w:rsid w:val="7FF37189"/>
    <w:rsid w:val="7FF627D5"/>
    <w:rsid w:val="7FFE2A6A"/>
    <w:rsid w:val="FF7F2A69"/>
    <w:rsid w:val="FFFE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4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semiHidden/>
    <w:qFormat/>
    <w:uiPriority w:val="0"/>
    <w:rPr>
      <w:rFonts w:ascii="Arial" w:hAnsi="Arial" w:eastAsia="Arial" w:cs="Arial"/>
      <w:sz w:val="21"/>
      <w:szCs w:val="21"/>
      <w:lang w:eastAsia="en-US"/>
    </w:rPr>
  </w:style>
  <w:style w:type="paragraph" w:styleId="6">
    <w:name w:val="Body Text First Indent"/>
    <w:basedOn w:val="5"/>
    <w:unhideWhenUsed/>
    <w:qFormat/>
    <w:uiPriority w:val="99"/>
    <w:pPr>
      <w:ind w:firstLine="420" w:firstLineChars="100"/>
    </w:pPr>
  </w:style>
  <w:style w:type="paragraph" w:styleId="7">
    <w:name w:val="Body Text Indent"/>
    <w:basedOn w:val="1"/>
    <w:qFormat/>
    <w:uiPriority w:val="99"/>
    <w:pPr>
      <w:spacing w:after="120"/>
      <w:ind w:left="420" w:leftChars="200"/>
    </w:pPr>
  </w:style>
  <w:style w:type="paragraph" w:styleId="8">
    <w:name w:val="toc 3"/>
    <w:basedOn w:val="1"/>
    <w:next w:val="1"/>
    <w:qFormat/>
    <w:uiPriority w:val="0"/>
    <w:pPr>
      <w:ind w:left="840" w:leftChars="40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next w:val="5"/>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样式4"/>
    <w:basedOn w:val="1"/>
    <w:next w:val="1"/>
    <w:qFormat/>
    <w:uiPriority w:val="0"/>
    <w:pPr>
      <w:adjustRightInd w:val="0"/>
      <w:snapToGrid w:val="0"/>
      <w:spacing w:line="560" w:lineRule="exact"/>
      <w:ind w:firstLine="643" w:firstLineChars="200"/>
      <w:outlineLvl w:val="1"/>
    </w:pPr>
    <w:rPr>
      <w:rFonts w:hint="eastAsia" w:ascii="Times New Roman" w:hAnsi="Times New Roman" w:eastAsia="楷体_GB2312"/>
    </w:rPr>
  </w:style>
  <w:style w:type="paragraph" w:customStyle="1" w:styleId="20">
    <w:name w:val="样式5"/>
    <w:basedOn w:val="1"/>
    <w:next w:val="1"/>
    <w:qFormat/>
    <w:uiPriority w:val="0"/>
    <w:pPr>
      <w:keepNext/>
      <w:keepLines/>
      <w:spacing w:beforeLines="0" w:afterLines="0" w:line="560" w:lineRule="exact"/>
      <w:ind w:firstLine="643" w:firstLineChars="200"/>
      <w:outlineLvl w:val="1"/>
    </w:pPr>
    <w:rPr>
      <w:rFonts w:hint="eastAsia" w:ascii="Arial" w:hAnsi="Arial" w:eastAsia="楷体_GB2312"/>
      <w:b/>
    </w:rPr>
  </w:style>
  <w:style w:type="paragraph" w:customStyle="1" w:styleId="21">
    <w:name w:val="样式6"/>
    <w:basedOn w:val="1"/>
    <w:next w:val="1"/>
    <w:qFormat/>
    <w:uiPriority w:val="0"/>
    <w:pPr>
      <w:keepNext/>
      <w:keepLines/>
      <w:spacing w:beforeLines="0" w:afterLines="0" w:line="560" w:lineRule="exact"/>
      <w:ind w:firstLine="643" w:firstLineChars="200"/>
      <w:outlineLvl w:val="1"/>
    </w:pPr>
    <w:rPr>
      <w:rFonts w:hint="eastAsia" w:ascii="Arial" w:hAnsi="Arial" w:eastAsia="楷体_GB2312"/>
      <w:b/>
    </w:rPr>
  </w:style>
  <w:style w:type="paragraph" w:customStyle="1" w:styleId="22">
    <w:name w:val="标题 5（有编号）（绿盟科技）"/>
    <w:basedOn w:val="1"/>
    <w:next w:val="1"/>
    <w:qFormat/>
    <w:uiPriority w:val="0"/>
    <w:pPr>
      <w:keepNext/>
      <w:keepLines/>
      <w:spacing w:before="280" w:after="156" w:line="377" w:lineRule="auto"/>
      <w:jc w:val="left"/>
      <w:outlineLvl w:val="4"/>
    </w:pPr>
    <w:rPr>
      <w:rFonts w:ascii="Arial" w:hAnsi="Arial" w:eastAsia="黑体"/>
      <w:b/>
      <w:sz w:val="24"/>
      <w:szCs w:val="28"/>
    </w:rPr>
  </w:style>
  <w:style w:type="paragraph" w:customStyle="1" w:styleId="23">
    <w:name w:val="Table Text"/>
    <w:basedOn w:val="1"/>
    <w:semiHidden/>
    <w:qFormat/>
    <w:uiPriority w:val="0"/>
    <w:rPr>
      <w:rFonts w:ascii="宋体" w:hAnsi="宋体" w:eastAsia="宋体" w:cs="宋体"/>
      <w:sz w:val="20"/>
      <w:szCs w:val="20"/>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11"/>
    <w:basedOn w:val="17"/>
    <w:qFormat/>
    <w:uiPriority w:val="0"/>
    <w:rPr>
      <w:rFonts w:hint="eastAsia" w:ascii="宋体" w:hAnsi="宋体" w:eastAsia="宋体" w:cs="宋体"/>
      <w:color w:val="000000"/>
      <w:sz w:val="20"/>
      <w:szCs w:val="20"/>
      <w:u w:val="none"/>
    </w:rPr>
  </w:style>
  <w:style w:type="character" w:customStyle="1" w:styleId="26">
    <w:name w:val="font41"/>
    <w:basedOn w:val="17"/>
    <w:qFormat/>
    <w:uiPriority w:val="0"/>
    <w:rPr>
      <w:rFonts w:hint="eastAsia" w:ascii="宋体" w:hAnsi="宋体" w:eastAsia="宋体" w:cs="宋体"/>
      <w:color w:val="000000"/>
      <w:sz w:val="22"/>
      <w:szCs w:val="22"/>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0">
    <w:name w:val="font121"/>
    <w:basedOn w:val="17"/>
    <w:qFormat/>
    <w:uiPriority w:val="0"/>
    <w:rPr>
      <w:rFonts w:hint="eastAsia" w:ascii="宋体" w:hAnsi="宋体" w:eastAsia="宋体" w:cs="宋体"/>
      <w:b/>
      <w:bCs/>
      <w:color w:val="000000"/>
      <w:sz w:val="28"/>
      <w:szCs w:val="28"/>
      <w:u w:val="none"/>
    </w:rPr>
  </w:style>
  <w:style w:type="character" w:customStyle="1" w:styleId="31">
    <w:name w:val="font21"/>
    <w:basedOn w:val="17"/>
    <w:qFormat/>
    <w:uiPriority w:val="0"/>
    <w:rPr>
      <w:rFonts w:hint="eastAsia" w:ascii="宋体" w:hAnsi="宋体" w:eastAsia="宋体" w:cs="宋体"/>
      <w:b/>
      <w:bCs/>
      <w:color w:val="000000"/>
      <w:sz w:val="24"/>
      <w:szCs w:val="24"/>
      <w:u w:val="none"/>
    </w:rPr>
  </w:style>
  <w:style w:type="character" w:customStyle="1" w:styleId="32">
    <w:name w:val="font71"/>
    <w:basedOn w:val="17"/>
    <w:qFormat/>
    <w:uiPriority w:val="0"/>
    <w:rPr>
      <w:rFonts w:hint="eastAsia" w:ascii="宋体" w:hAnsi="宋体" w:eastAsia="宋体" w:cs="宋体"/>
      <w:b/>
      <w:bCs/>
      <w:color w:val="000000"/>
      <w:sz w:val="22"/>
      <w:szCs w:val="22"/>
      <w:u w:val="none"/>
    </w:rPr>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hint="default" w:ascii="Times New Roman" w:hAnsi="Times New Roman" w:cs="Times New Roman"/>
      <w:color w:val="000000"/>
      <w:sz w:val="22"/>
      <w:szCs w:val="22"/>
      <w:u w:val="none"/>
    </w:rPr>
  </w:style>
  <w:style w:type="character" w:customStyle="1" w:styleId="35">
    <w:name w:val="font01"/>
    <w:basedOn w:val="17"/>
    <w:qFormat/>
    <w:uiPriority w:val="0"/>
    <w:rPr>
      <w:rFonts w:hint="eastAsia" w:ascii="宋体" w:hAnsi="宋体" w:eastAsia="宋体" w:cs="宋体"/>
      <w:color w:val="000000"/>
      <w:sz w:val="22"/>
      <w:szCs w:val="22"/>
      <w:u w:val="none"/>
    </w:rPr>
  </w:style>
  <w:style w:type="character" w:customStyle="1" w:styleId="36">
    <w:name w:val="font31"/>
    <w:basedOn w:val="17"/>
    <w:qFormat/>
    <w:uiPriority w:val="0"/>
    <w:rPr>
      <w:rFonts w:hint="eastAsia" w:ascii="宋体" w:hAnsi="宋体" w:eastAsia="宋体" w:cs="宋体"/>
      <w:color w:val="000000"/>
      <w:sz w:val="22"/>
      <w:szCs w:val="22"/>
      <w:u w:val="none"/>
    </w:rPr>
  </w:style>
  <w:style w:type="paragraph" w:customStyle="1" w:styleId="37">
    <w:name w:val="表格样式"/>
    <w:basedOn w:val="1"/>
    <w:qFormat/>
    <w:uiPriority w:val="0"/>
    <w:pPr>
      <w:spacing w:before="120" w:beforeLines="0" w:line="360" w:lineRule="auto"/>
      <w:jc w:val="left"/>
    </w:pPr>
    <w:rPr>
      <w:rFonts w:ascii="宋体" w:hAnsi="宋体"/>
      <w:sz w:val="15"/>
    </w:rPr>
  </w:style>
  <w:style w:type="paragraph" w:customStyle="1" w:styleId="38">
    <w:name w:val="样式1"/>
    <w:basedOn w:val="2"/>
    <w:next w:val="1"/>
    <w:qFormat/>
    <w:uiPriority w:val="0"/>
    <w:pPr>
      <w:adjustRightInd w:val="0"/>
      <w:snapToGrid w:val="0"/>
      <w:spacing w:line="560" w:lineRule="exact"/>
      <w:ind w:firstLine="643" w:firstLineChars="200"/>
      <w:outlineLvl w:val="1"/>
    </w:pPr>
    <w:rPr>
      <w:rFonts w:ascii="宋体" w:hAnsi="宋体" w:eastAsia="楷体_GB2312"/>
    </w:rPr>
  </w:style>
  <w:style w:type="paragraph" w:customStyle="1" w:styleId="39">
    <w:name w:val="样式2"/>
    <w:basedOn w:val="2"/>
    <w:next w:val="1"/>
    <w:qFormat/>
    <w:uiPriority w:val="0"/>
    <w:pPr>
      <w:adjustRightInd w:val="0"/>
      <w:snapToGrid w:val="0"/>
      <w:spacing w:line="560" w:lineRule="exact"/>
      <w:ind w:firstLine="643" w:firstLineChars="200"/>
      <w:outlineLvl w:val="1"/>
    </w:pPr>
    <w:rPr>
      <w:rFonts w:ascii="宋体" w:hAnsi="宋体" w:eastAsia="黑体"/>
      <w:sz w:val="32"/>
    </w:rPr>
  </w:style>
  <w:style w:type="paragraph" w:customStyle="1" w:styleId="40">
    <w:name w:val="样式3"/>
    <w:basedOn w:val="1"/>
    <w:next w:val="1"/>
    <w:qFormat/>
    <w:uiPriority w:val="0"/>
    <w:pPr>
      <w:spacing w:beforeAutospacing="1" w:afterAutospacing="1"/>
      <w:jc w:val="left"/>
      <w:outlineLvl w:val="0"/>
    </w:pPr>
    <w:rPr>
      <w:rFonts w:hint="eastAsia" w:ascii="宋体" w:hAnsi="宋体" w:eastAsia="黑体" w:cs="宋体"/>
      <w:b/>
      <w:bCs/>
      <w:kern w:val="44"/>
      <w:sz w:val="32"/>
      <w:szCs w:val="48"/>
      <w:lang w:bidi="ar"/>
    </w:rPr>
  </w:style>
  <w:style w:type="character" w:customStyle="1" w:styleId="41">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164c8143-e309-4d42-8e4a-f4df3ddd7145</errorID>
      <errorWord>）文件</errorWord>
      <group>L1_AI</group>
      <groupName>深度校对</groupName>
      <ability>L2_AI_Grammar</ability>
      <abilityName>语法纠错</abilityName>
      <candidateList>
        <item>）</item>
      </candidateList>
      <explain/>
      <paraID>7B5C58B2</paraID>
      <start>90</start>
      <end>91</end>
      <status>modified</status>
      <modifiedWord>）</modifiedWord>
      <trackRevisions>false</trackRevisions>
    </reviewItem>
    <reviewItem>
      <errorID>0909f60d-2ac2-445f-b647-77dfa9f293b1</errorID>
      <errorWord>)</errorWord>
      <group>L1_Format</group>
      <groupName>格式问题</groupName>
      <ability>L2_HalfPunc</ability>
      <abilityName>全半角检查</abilityName>
      <candidateList>
        <item>）</item>
      </candidateList>
      <explain>文本全半角错误。</explain>
      <paraID>7B5C58B2</paraID>
      <start>158</start>
      <end>159</end>
      <status>modified</status>
      <modifiedWord>）</modifiedWord>
      <trackRevisions>false</trackRevisions>
    </reviewItem>
    <reviewItem>
      <errorID>a446c364-bb91-409a-a4c8-1389853b3528</errorID>
      <errorWord>)</errorWord>
      <group>L1_Format</group>
      <groupName>格式问题</groupName>
      <ability>L2_HalfPunc</ability>
      <abilityName>全半角检查</abilityName>
      <candidateList>
        <item>）</item>
      </candidateList>
      <explain>文本全半角错误。</explain>
      <paraID>7B5C58B2</paraID>
      <start>197</start>
      <end>198</end>
      <status>modified</status>
      <modifiedWord>）</modifiedWord>
      <trackRevisions>false</trackRevisions>
    </reviewItem>
    <reviewItem>
      <errorID>9f9728d9-3810-4b96-b33d-2497fa556999</errorID>
      <errorWord>补</errorWord>
      <group>L1_Word</group>
      <groupName>字词问题</groupName>
      <ability>L2_Typo</ability>
      <abilityName>字词错误</abilityName>
      <candidateList>
        <item>补助</item>
      </candidateList>
      <explain/>
      <paraID>7B5C58B2</paraID>
      <start>219</start>
      <end>221</end>
      <status>modified</status>
      <modifiedWord>补助</modifiedWord>
      <trackRevisions>false</trackRevisions>
    </reviewItem>
    <reviewItem>
      <errorID>c3661989-76e5-444c-9268-7f09b770ae10</errorID>
      <errorWord>）文件</errorWord>
      <group>L1_AI</group>
      <groupName>深度校对</groupName>
      <ability>L2_AI_Grammar</ability>
      <abilityName>语法纠错</abilityName>
      <candidateList>
        <item>）</item>
      </candidateList>
      <explain/>
      <paraID>5058E653</paraID>
      <start>83</start>
      <end>86</end>
      <status>ignored</status>
      <modifiedWord/>
      <trackRevisions>false</trackRevisions>
    </reviewItem>
    <reviewItem>
      <errorID>56e72960-74b4-4126-97a0-1bfe7266bdee</errorID>
      <errorWord>)</errorWord>
      <group>L1_Format</group>
      <groupName>格式问题</groupName>
      <ability>L2_HalfPunc</ability>
      <abilityName>全半角检查</abilityName>
      <candidateList>
        <item>）</item>
      </candidateList>
      <explain>文本全半角错误。</explain>
      <paraID>5058E653</paraID>
      <start>184</start>
      <end>185</end>
      <status>unmodified</status>
      <modifiedWord/>
      <trackRevisions>false</trackRevisions>
    </reviewItem>
    <reviewItem>
      <errorID>c487f605-48ed-4a1b-871f-05bdee95c22b</errorID>
      <errorWord>)</errorWord>
      <group>L1_Format</group>
      <groupName>格式问题</groupName>
      <ability>L2_HalfPunc</ability>
      <abilityName>全半角检查</abilityName>
      <candidateList>
        <item>）</item>
      </candidateList>
      <explain>文本全半角错误。</explain>
      <paraID>5058E653</paraID>
      <start>223</start>
      <end>224</end>
      <status>unmodified</status>
      <modifiedWord/>
      <trackRevisions>false</trackRevisions>
    </reviewItem>
    <reviewItem>
      <errorID>46c1f074-c55a-4011-94df-387518d3efba</errorID>
      <errorWord>（二）</errorWord>
      <group>L1_AI</group>
      <groupName>深度校对</groupName>
      <ability>L2_AI_Title</ability>
      <abilityName>标题检查</abilityName>
      <candidateList>
        <item>（三）</item>
      </candidateList>
      <explain>标题顺序错误，请检查标题顺序是否合理。</explain>
      <paraID> 52BD8CE</paraID>
      <start>0</start>
      <end>3</end>
      <status>modified</status>
      <modifiedWord>（三）</modifiedWord>
      <trackRevisions>false</trackRevisions>
    </reviewItem>
    <reviewItem>
      <errorID>452a0173-13c8-479c-9dbf-7566790a1b5c</errorID>
      <errorWord>，</errorWord>
      <group>L1_AI</group>
      <groupName>深度校对</groupName>
      <ability>L2_AI_Punc</ability>
      <abilityName>标点纠错</abilityName>
      <candidateList>
        <item>、</item>
      </candidateList>
      <explain/>
      <paraID>5EAE012C</paraID>
      <start>8</start>
      <end>9</end>
      <status>modified</status>
      <modifiedWord>、</modifiedWord>
      <trackRevisions>false</trackRevisions>
    </reviewItem>
    <reviewItem>
      <errorID>8aaf7539-b5a5-4ecd-8522-0a13ad90afda</errorID>
      <errorWord>风险的情况</errorWord>
      <group>L1_AI</group>
      <groupName>深度校对</groupName>
      <ability>L2_AI_Grammar</ability>
      <abilityName>语法纠错</abilityName>
      <candidateList>
        <item>风险</item>
      </candidateList>
      <explain/>
      <paraID>4F195C2F</paraID>
      <start>60</start>
      <end>62</end>
      <status>modified</status>
      <modifiedWord>风险</modifiedWord>
      <trackRevisions>false</trackRevisions>
    </reviewItem>
    <reviewItem>
      <errorID>a62b1893-a7f6-412f-bf30-ea8660ab29b4</errorID>
      <errorWord>扎实</errorWord>
      <group>L1_AI</group>
      <groupName>深度校对</groupName>
      <ability>L2_AI_Word</ability>
      <abilityName>字词纠错</abilityName>
      <candidateList>
        <item>并扎实</item>
      </candidateList>
      <explain/>
      <paraID>63706C18</paraID>
      <start>6</start>
      <end>9</end>
      <status>modified</status>
      <modifiedWord>并扎实</modifiedWord>
      <trackRevisions>false</trackRevisions>
    </reviewItem>
    <reviewItem>
      <errorID>8e2237d0-16e5-4245-b779-fda717366e42</errorID>
      <errorWord>评价</errorWord>
      <group>L1_AI</group>
      <groupName>深度校对</groupName>
      <ability>L2_AI_Word</ability>
      <abilityName>字词纠错</abilityName>
      <candidateList>
        <item>的评价</item>
      </candidateList>
      <explain/>
      <paraID>63706C18</paraID>
      <start>60</start>
      <end>62</end>
      <status>ignored</status>
      <modifiedWord/>
      <trackRevisions>false</trackRevisions>
    </reviewItem>
    <reviewItem>
      <errorID>00b3e1b7-4bb8-428d-a281-a1724521c10d</errorID>
      <errorWord>，同时</errorWord>
      <group>L1_AI</group>
      <groupName>深度校对</groupName>
      <ability>L2_AI_Word</ability>
      <abilityName>字词纠错</abilityName>
      <candidateList>
        <item>。同时，</item>
      </candidateList>
      <explain/>
      <paraID>63706C18</paraID>
      <start>69</start>
      <end>73</end>
      <status>modified</status>
      <modifiedWord>。同时，</modifiedWord>
      <trackRevisions>false</trackRevisions>
    </reviewItem>
    <reviewItem>
      <errorID>36f986cc-08d9-4a13-b8c0-fb010b070d0f</errorID>
      <errorWord>中去</errorWord>
      <group>L1_AI</group>
      <groupName>深度校对</groupName>
      <ability>L2_AI_Word</ability>
      <abilityName>字词纠错</abilityName>
      <candidateList>
        <item>中</item>
      </candidateList>
      <explain/>
      <paraID>63706C18</paraID>
      <start>90</start>
      <end>91</end>
      <status>modified</status>
      <modifiedWord>中</modifiedWord>
      <trackRevisions>false</trackRevisions>
    </reviewItem>
    <reviewItem>
      <errorID>0222db94-4d75-426f-a13a-05985652622c</errorID>
      <errorWord>一</errorWord>
      <group>L1_AI</group>
      <groupName>深度校对</groupName>
      <ability>L2_AI_Punc</ability>
      <abilityName>标点纠错</abilityName>
      <candidateList>
        <item>：一</item>
      </candidateList>
      <explain/>
      <paraID>766C4D7F</paraID>
      <start>2</start>
      <end>3</end>
      <status>ignored</status>
      <modifiedWord/>
      <trackRevisions>false</trackRevisions>
    </reviewItem>
    <reviewItem>
      <errorID>a2a93742-886a-48c9-af3e-3b8ff79c5f57</errorID>
      <errorWord>。</errorWord>
      <group>L1_AI</group>
      <groupName>深度校对</groupName>
      <ability>L2_AI_Punc</ability>
      <abilityName>标点纠错</abilityName>
      <candidateList>
        <item>；</item>
      </candidateList>
      <explain/>
      <paraID>766C4D7F</paraID>
      <start>41</start>
      <end>42</end>
      <status>modified</status>
      <modifiedWord>；</modifiedWord>
      <trackRevisions>false</trackRevisions>
    </reviewItem>
    <reviewItem>
      <errorID>efca1ed7-6c8a-47b9-b57a-5461d42dd9ab</errorID>
      <errorWord>审核</errorWord>
      <group>L1_AI</group>
      <groupName>深度校对</groupName>
      <ability>L2_AI_Punc</ability>
      <abilityName>标点纠错</abilityName>
      <candidateList>
        <item>审核。</item>
      </candidateList>
      <explain/>
      <paraID>766C4D7F</paraID>
      <start>79</start>
      <end>82</end>
      <status>modified</status>
      <modifiedWord>审核。</modifiedWord>
      <trackRevisions>false</trackRevisions>
    </reviewItem>
    <reviewItem>
      <errorID>61fed792-959d-4f9f-8a9a-77f417469007</errorID>
      <errorWord>。</errorWord>
      <group>L1_AI</group>
      <groupName>深度校对</groupName>
      <ability>L2_AI_Punc</ability>
      <abilityName>标点纠错</abilityName>
      <candidateList>
        <item>，</item>
      </candidateList>
      <explain/>
      <paraID>23098F1A</paraID>
      <start>48</start>
      <end>49</end>
      <status>unmodified</status>
      <modifiedWord/>
      <trackRevisions>false</trackRevisions>
    </reviewItem>
    <reviewItem>
      <errorID>a32275ae-ac5a-4da5-a579-a74703386700</errorID>
      <errorWord>)</errorWord>
      <group>L1_Format</group>
      <groupName>格式问题</groupName>
      <ability>L2_HalfPunc</ability>
      <abilityName>全半角检查</abilityName>
      <candidateList>
        <item>）</item>
      </candidateList>
      <explain>文本全半角错误。</explain>
      <paraID>2D763F01</paraID>
      <start>160</start>
      <end>161</end>
      <status>unmodified</status>
      <modifiedWord/>
      <trackRevisions>false</trackRevisions>
    </reviewItem>
    <reviewItem>
      <errorID>79252384-9459-474f-ab0c-fd1f85f04db1</errorID>
      <errorWord>)</errorWord>
      <group>L1_Format</group>
      <groupName>格式问题</groupName>
      <ability>L2_HalfPunc</ability>
      <abilityName>全半角检查</abilityName>
      <candidateList>
        <item>）</item>
      </candidateList>
      <explain>文本全半角错误。</explain>
      <paraID>2D763F01</paraID>
      <start>199</start>
      <end>200</end>
      <status>unmodified</status>
      <modifiedWord/>
      <trackRevisions>false</trackRevisions>
    </reviewItem>
    <reviewItem>
      <errorID>2e27ce7e-e50d-47e6-a459-093bdbbadba8</errorID>
      <errorWord>补</errorWord>
      <group>L1_Word</group>
      <groupName>字词问题</groupName>
      <ability>L2_Typo</ability>
      <abilityName>字词错误</abilityName>
      <candidateList>
        <item>补助</item>
      </candidateList>
      <explain/>
      <paraID>2D763F01</paraID>
      <start>221</start>
      <end>223</end>
      <status>modified</status>
      <modifiedWord>补助</modifiedWord>
      <trackRevisions>false</trackRevisions>
    </reviewItem>
    <reviewItem>
      <errorID>578b2c81-3348-4c36-ab15-a89344870a55</errorID>
      <errorWord>;</errorWord>
      <group>L1_Format</group>
      <groupName>格式问题</groupName>
      <ability>L2_HalfPunc</ability>
      <abilityName>全半角检查</abilityName>
      <candidateList>
        <item>；</item>
      </candidateList>
      <explain>文本全半角错误。</explain>
      <paraID>1484CFDB</paraID>
      <start>47</start>
      <end>48</end>
      <status>unmodified</status>
      <modifiedWord/>
      <trackRevisions>false</trackRevisions>
    </reviewItem>
    <reviewItem>
      <errorID>12ed9b92-4425-46ca-a0c0-b1b92eb6e603</errorID>
      <errorWord>)</errorWord>
      <group>L1_Format</group>
      <groupName>格式问题</groupName>
      <ability>L2_HalfPunc</ability>
      <abilityName>全半角检查</abilityName>
      <candidateList>
        <item>）</item>
      </candidateList>
      <explain>文本全半角错误。</explain>
      <paraID>1484CFDB</paraID>
      <start>71</start>
      <end>72</end>
      <status>unmodified</status>
      <modifiedWord/>
      <trackRevisions>false</trackRevisions>
    </reviewItem>
    <reviewItem>
      <errorID>80e8784c-19ae-4a19-8159-d21b5c940167</errorID>
      <errorWord>)</errorWord>
      <group>L1_Format</group>
      <groupName>格式问题</groupName>
      <ability>L2_HalfPunc</ability>
      <abilityName>全半角检查</abilityName>
      <candidateList>
        <item>）</item>
      </candidateList>
      <explain>文本全半角错误。</explain>
      <paraID>14D61596</paraID>
      <start>40</start>
      <end>41</end>
      <status>unmodified</status>
      <modifiedWord/>
      <trackRevisions>false</trackRevisions>
    </reviewItem>
    <reviewItem>
      <errorID>4d7ee5b1-4219-4f8a-bb80-9f088a7a78c3</errorID>
      <errorWord>)</errorWord>
      <group>L1_Format</group>
      <groupName>格式问题</groupName>
      <ability>L2_HalfPunc</ability>
      <abilityName>全半角检查</abilityName>
      <candidateList>
        <item>）</item>
      </candidateList>
      <explain>文本全半角错误。</explain>
      <paraID>14D61596</paraID>
      <start>79</start>
      <end>80</end>
      <status>unmodified</status>
      <modifiedWord/>
      <trackRevisions>false</trackRevisions>
    </reviewItem>
    <reviewItem>
      <errorID>eeab2459-14b3-4316-9481-e8081c40b651</errorID>
      <errorWord>&lt;</errorWord>
      <group>L1_Format</group>
      <groupName>格式问题</groupName>
      <ability>L2_HalfPunc</ability>
      <abilityName>全半角检查</abilityName>
      <candidateList>
        <item>〈</item>
      </candidateList>
      <explain>文本全半角错误。</explain>
      <paraID> 4412B03</paraID>
      <start>87</start>
      <end>88</end>
      <status>unmodified</status>
      <modifiedWord/>
      <trackRevisions>false</trackRevisions>
    </reviewItem>
    <reviewItem>
      <errorID>1a248f71-1121-4a6f-b7ae-5ff4d7cca309</errorID>
      <errorWord>&gt;&gt;，</errorWord>
      <group>L1_Punc</group>
      <groupName>标点问题</groupName>
      <ability>L2_Punc</ability>
      <abilityName>标点符号检查</abilityName>
      <candidateList>
        <item>&gt;</item>
      </candidateList>
      <explain/>
      <paraID> 4412B03</paraID>
      <start>100</start>
      <end>103</end>
      <status>ignored</status>
      <modifiedWord/>
      <trackRevisions>false</trackRevisions>
    </reviewItem>
    <reviewItem>
      <errorID>37454443-b4a1-4615-8b4e-19d255fb759c</errorID>
      <errorWord>组细</errorWord>
      <group>L1_Word</group>
      <groupName>字词问题</groupName>
      <ability>L2_Typo</ability>
      <abilityName>字词错误</abilityName>
      <candidateList>
        <item>明细</item>
      </candidateList>
      <explain/>
      <paraID> 4412B03</paraID>
      <start>150</start>
      <end>152</end>
      <status>modified</status>
      <modifiedWord>明细</modifiedWord>
      <trackRevisions>false</trackRevisions>
    </reviewItem>
    <reviewItem>
      <errorID>0c74d038-906d-41bc-93a9-2838b169cb58</errorID>
      <errorWord>)</errorWord>
      <group>L1_Format</group>
      <groupName>格式问题</groupName>
      <ability>L2_HalfPunc</ability>
      <abilityName>全半角检查</abilityName>
      <candidateList>
        <item>）</item>
      </candidateList>
      <explain>文本全半角错误。</explain>
      <paraID>2F9D9327</paraID>
      <start>48</start>
      <end>49</end>
      <status>ignored</status>
      <modifiedWord/>
      <trackRevisions>false</trackRevisions>
    </reviewItem>
    <reviewItem>
      <errorID>36581c20-f323-420b-a243-2fa5b413ec6f</errorID>
      <errorWord>)</errorWord>
      <group>L1_Format</group>
      <groupName>格式问题</groupName>
      <ability>L2_HalfPunc</ability>
      <abilityName>全半角检查</abilityName>
      <candidateList>
        <item>）</item>
      </candidateList>
      <explain>文本全半角错误。</explain>
      <paraID>2F9D9327</paraID>
      <start>60</start>
      <end>61</end>
      <status>ignored</status>
      <modifiedWord/>
      <trackRevisions>false</trackRevisions>
    </reviewItem>
    <reviewItem>
      <errorID>cdcad71e-a5a9-423c-a27f-3fb249c7c4eb</errorID>
      <errorWord>)</errorWord>
      <group>L1_Format</group>
      <groupName>格式问题</groupName>
      <ability>L2_HalfPunc</ability>
      <abilityName>全半角检查</abilityName>
      <candidateList>
        <item>）</item>
      </candidateList>
      <explain>文本全半角错误。</explain>
      <paraID>11D1AA05</paraID>
      <start>21</start>
      <end>22</end>
      <status>ignored</status>
      <modifiedWord/>
      <trackRevisions>false</trackRevisions>
    </reviewItem>
    <reviewItem>
      <errorID>236ee60e-b101-4b6a-9c38-82a51d220213</errorID>
      <errorWord>绩效考察</errorWord>
      <group>L1_Knowledge</group>
      <groupName>知识性问题</groupName>
      <ability>L2_Knowledge</ability>
      <abilityName>其他知识</abilityName>
      <candidateList>
        <item>绩效考核</item>
      </candidateList>
      <explain/>
      <paraID>7A82C741</paraID>
      <start>5</start>
      <end>9</end>
      <status>ignored</status>
      <modifiedWord/>
      <trackRevisions>false</trackRevisions>
    </reviewItem>
    <reviewItem>
      <errorID>65949e32-4c2f-4395-8a43-2e744f5ae471</errorID>
      <errorWord>)</errorWord>
      <group>L1_Format</group>
      <groupName>格式问题</groupName>
      <ability>L2_HalfPunc</ability>
      <abilityName>全半角检查</abilityName>
      <candidateList>
        <item>）</item>
      </candidateList>
      <explain>文本全半角错误。</explain>
      <paraID>67A7C7C1</paraID>
      <start>54</start>
      <end>55</end>
      <status>ignored</status>
      <modifiedWord/>
      <trackRevisions>false</trackRevisions>
    </reviewItem>
    <reviewItem>
      <errorID>66b394e5-e1b9-48bc-bf4b-5840272340bf</errorID>
      <errorWord>巩固拓展脱贫攻坚成果与乡村振兴有效衔接</errorWord>
      <group>L1_Political</group>
      <groupName>政治性问题</groupName>
      <ability>L2_Keyword</ability>
      <abilityName>固定表述</abilityName>
      <candidateList>
        <item>巩固拓展脱贫攻坚成果同乡村振兴有效衔接</item>
      </candidateList>
      <explain>词汇“巩固拓展脱贫攻坚成果同乡村振兴有效衔接”在特定场景下为固定表述形式，请确认此处的“巩固拓展脱贫攻坚成果与乡村振兴有效衔接”是否存在不当。</explain>
      <paraID>54908E85</paraID>
      <start>31</start>
      <end>50</end>
      <status>ignored</status>
      <modifiedWord/>
      <trackRevisions>false</trackRevisions>
    </reviewItem>
    <reviewItem>
      <errorID>71ef8877-fdf1-41bc-929b-cf63eda63568</errorID>
      <errorWord>巩固脱贫攻坚成果</errorWord>
      <group>L1_Word</group>
      <groupName>字词问题</groupName>
      <ability>L2_Typo</ability>
      <abilityName>字词错误</abilityName>
      <candidateList>
        <item>巩固拓展脱贫攻坚成果</item>
      </candidateList>
      <explain/>
      <paraID>63983A9F</paraID>
      <start>78</start>
      <end>88</end>
      <status>modified</status>
      <modifiedWord>巩固拓展脱贫攻坚成果</modifiedWord>
      <trackRevisions>false</trackRevisions>
    </reviewItem>
    <reviewItem>
      <errorID>209e5d2e-27b4-4a39-877e-55e85547e3a0</errorID>
      <errorWord>办法围</errorWord>
      <group>L1_Word</group>
      <groupName>字词问题</groupName>
      <ability>L2_Typo</ability>
      <abilityName>字词错误</abilityName>
      <candidateList>
        <item>办法</item>
      </candidateList>
      <explain/>
      <paraID> 49537CD</paraID>
      <start>79</start>
      <end>81</end>
      <status>modified</status>
      <modifiedWord>办法</modifiedWord>
      <trackRevisions>false</trackRevisions>
    </reviewItem>
    <reviewItem>
      <errorID>1f2bcdc6-d5be-43c2-955a-b7199ba7ca97</errorID>
      <errorWord>人力资源与社会保障局</errorWord>
      <group>L1_Word</group>
      <groupName>字词问题</groupName>
      <ability>L2_Typo</ability>
      <abilityName>字词错误</abilityName>
      <candidateList>
        <item>人力资源和社会保障局</item>
      </candidateList>
      <explain/>
      <paraID> 483A20A</paraID>
      <start>94</start>
      <end>104</end>
      <status>modified</status>
      <modifiedWord>人力资源和社会保障局</modifiedWord>
      <trackRevisions>false</trackRevisions>
    </reviewItem>
    <reviewItem>
      <errorID>a521bdf3-46fd-4f2d-8919-73d17763de87</errorID>
      <errorWord>，</errorWord>
      <group>L1_Word</group>
      <groupName>字词问题</groupName>
      <ability>L2_Typo</ability>
      <abilityName>字词错误</abilityName>
      <candidateList>
        <item>，将</item>
      </candidateList>
      <explain/>
      <paraID>11A682C3</paraID>
      <start>60</start>
      <end>62</end>
      <status>modified</status>
      <modifiedWord>，将</modifiedWord>
      <trackRevisions>false</trackRevisions>
    </reviewItem>
    <reviewItem>
      <errorID>0cf40d0a-3215-45c8-88dd-c9b318402562</errorID>
      <errorWord>)</errorWord>
      <group>L1_Format</group>
      <groupName>格式问题</groupName>
      <ability>L2_HalfPunc</ability>
      <abilityName>全半角检查</abilityName>
      <candidateList>
        <item>）</item>
      </candidateList>
      <explain>文本全半角错误。</explain>
      <paraID>6206C6C2</paraID>
      <start>108</start>
      <end>109</end>
      <status>unmodified</status>
      <modifiedWord/>
      <trackRevisions>false</trackRevisions>
    </reviewItem>
    <reviewItem>
      <errorID>34149515-7b40-498b-90f9-8289f8f8fab8</errorID>
      <errorWord>)</errorWord>
      <group>L1_Format</group>
      <groupName>格式问题</groupName>
      <ability>L2_HalfPunc</ability>
      <abilityName>全半角检查</abilityName>
      <candidateList>
        <item>）</item>
      </candidateList>
      <explain>文本全半角错误。</explain>
      <paraID>6206C6C2</paraID>
      <start>147</start>
      <end>148</end>
      <status>unmodified</status>
      <modifiedWord/>
      <trackRevisions>false</trackRevisions>
    </reviewItem>
    <reviewItem>
      <errorID>1e6d598b-be32-4cd1-a4bd-0d6485f1cb01</errorID>
      <errorWord>七</errorWord>
      <group>L1_Word</group>
      <groupName>字词问题</groupName>
      <ability>L2_Typo</ability>
      <abilityName>字词错误</abilityName>
      <candidateList>
        <item>其</item>
      </candidateList>
      <explain>词缀：极～｜尤～｜如～。</explain>
      <paraID>1E1F9E7F</paraID>
      <start>49</start>
      <end>50</end>
      <status>modified</status>
      <modifiedWord>其</modifiedWord>
      <trackRevisions>false</trackRevisions>
    </reviewItem>
    <reviewItem>
      <errorID>3654fc34-824b-4533-946e-c59a4af5d546</errorID>
      <errorWord>巩固拓展脱贫攻坚成果与乡村振兴有效衔接</errorWord>
      <group>L1_Political</group>
      <groupName>政治性问题</groupName>
      <ability>L2_Keyword</ability>
      <abilityName>固定表述</abilityName>
      <candidateList>
        <item>巩固拓展脱贫攻坚成果同乡村振兴有效衔接</item>
      </candidateList>
      <explain>词汇“巩固拓展脱贫攻坚成果同乡村振兴有效衔接”在特定场景下为固定表述形式，请确认此处的“巩固拓展脱贫攻坚成果与乡村振兴有效衔接”是否存在不当。</explain>
      <paraID>4D6F40DA</paraID>
      <start>26</start>
      <end>45</end>
      <status>ignored</status>
      <modifiedWord/>
      <trackRevisions>false</trackRevisions>
    </reviewItem>
    <reviewItem>
      <errorID>c52526bd-3b3e-44dd-83dc-6b3f1912adf4</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6747FC1E</paraID>
      <start>11</start>
      <end>16</end>
      <status>ignored</status>
      <modifiedWord/>
      <trackRevisions>false</trackRevisions>
    </reviewItem>
    <reviewItem>
      <errorID>a82407fe-b7b5-4cc6-8de4-d819a90faf70</errorID>
      <errorWord>巩固脱贫攻坚成果</errorWord>
      <group>L1_Word</group>
      <groupName>字词问题</groupName>
      <ability>L2_Typo</ability>
      <abilityName>字词错误</abilityName>
      <candidateList>
        <item>巩固拓展脱贫攻坚成果</item>
      </candidateList>
      <explain/>
      <paraID> 42DD45F</paraID>
      <start>73</start>
      <end>81</end>
      <status>ignored</status>
      <modifiedWord/>
      <trackRevisions>false</trackRevisions>
    </reviewItem>
    <reviewItem>
      <errorID>997e8f50-5ff7-434e-ad90-db06b3dcf2e9</errorID>
      <errorWord>集中财力办大事</errorWord>
      <group>L1_Political</group>
      <groupName>政治性问题</groupName>
      <ability>L2_Keyword</ability>
      <abilityName>固定表述</abilityName>
      <candidateList>
        <item>集中力量办大事</item>
      </candidateList>
      <explain>词汇“集中力量办大事”在特定场景下为固定表述形式，请确认此处的“集中财力办大事”是否存在不当。</explain>
      <paraID>193A89F8</paraID>
      <start>82</start>
      <end>89</end>
      <status>ignored</status>
      <modifiedWord/>
      <trackRevisions>false</trackRevisions>
    </reviewItem>
    <reviewItem>
      <errorID>c24e40a7-1f78-4671-b3f6-c36a5f996160</errorID>
      <errorWord>办法围</errorWord>
      <group>L1_Word</group>
      <groupName>字词问题</groupName>
      <ability>L2_Typo</ability>
      <abilityName>字词错误</abilityName>
      <candidateList>
        <item>办法</item>
      </candidateList>
      <explain/>
      <paraID> 32AEB93</paraID>
      <start>74</start>
      <end>77</end>
      <status>ignored</status>
      <modifiedWord/>
      <trackRevisions>false</trackRevisions>
    </reviewItem>
    <reviewItem>
      <errorID>a40e9e69-3297-44d4-a35e-64ad2d9905b8</errorID>
      <errorWord>多种</errorWord>
      <group>L1_Word</group>
      <groupName>字词问题</groupName>
      <ability>L2_Typo</ability>
      <abilityName>字词错误</abilityName>
      <candidateList>
        <item>多重</item>
      </candidateList>
      <explain/>
      <paraID>64BCE7A7</paraID>
      <start>185</start>
      <end>187</end>
      <status>ignored</status>
      <modifiedWord/>
      <trackRevisions>false</trackRevisions>
    </reviewItem>
    <reviewItem>
      <errorID>ced7bc80-c85a-4d06-9566-ea626a273701</errorID>
      <errorWord>人力资源与社会保障局</errorWord>
      <group>L1_Word</group>
      <groupName>字词问题</groupName>
      <ability>L2_Typo</ability>
      <abilityName>字词错误</abilityName>
      <candidateList>
        <item>人力资源和社会保障局</item>
      </candidateList>
      <explain/>
      <paraID>370A26FC</paraID>
      <start>89</start>
      <end>99</end>
      <status>modified</status>
      <modifiedWord>人力资源和社会保障局</modifiedWord>
      <trackRevisions>false</trackRevisions>
    </reviewItem>
    <reviewItem>
      <errorID>b5b66f9f-1938-4301-9ea1-92c7b010f2a4</errorID>
      <errorWord>（</errorWord>
      <group>L1_Punc</group>
      <groupName>标点问题</groupName>
      <ability>L2_Punc</ability>
      <abilityName>标点符号检查</abilityName>
      <candidateList>
        <item/>
      </candidateList>
      <explain>同一形式括号套用。</explain>
      <paraID> 3739F78</paraID>
      <start>7</start>
      <end>8</end>
      <status>ignored</status>
      <modifiedWord/>
      <trackRevisions>false</trackRevisions>
    </reviewItem>
    <reviewItem>
      <errorID>67ee56cd-5154-4c3b-985b-5842b1769d2c</errorID>
      <errorWord>)</errorWord>
      <group>L1_Punc</group>
      <groupName>标点问题</groupName>
      <ability>L2_Punc</ability>
      <abilityName>标点符号检查</abilityName>
      <candidateList/>
      <explain>同一形式括号套用。</explain>
      <paraID> 3739F78</paraID>
      <start>24</start>
      <end>25</end>
      <status>ignored</status>
      <modifiedWord/>
      <trackRevisions>false</trackRevisions>
    </reviewItem>
    <reviewItem>
      <errorID>7e536dd2-0e13-47bd-8efc-d5e991a11177</errorID>
      <errorWord>）</errorWord>
      <group>L1_Punc</group>
      <groupName>标点问题</groupName>
      <ability>L2_Punc</ability>
      <abilityName>标点符号检查</abilityName>
      <candidateList/>
      <explain>同一形式括号套用。</explain>
      <paraID> 3739F78</paraID>
      <start>32</start>
      <end>33</end>
      <status>ignored</status>
      <modifiedWord/>
      <trackRevisions>false</trackRevisions>
    </reviewItem>
    <reviewItem>
      <errorID>8154ad69-dac4-4a79-982c-f6864807a15b</errorID>
      <errorWord>超过计划完成时间1倍及以上</errorWord>
      <group>L1_Word</group>
      <groupName>字词问题</groupName>
      <ability>L2_Typo</ability>
      <abilityName>字词错误</abilityName>
      <candidateList>
        <item>超过计划完成时间1倍及</item>
      </candidateList>
      <explain/>
      <paraID> 3739F78</paraID>
      <start>86</start>
      <end>99</end>
      <status>ignored</status>
      <modifiedWord/>
      <trackRevisions>false</trackRevisions>
    </reviewItem>
    <reviewItem>
      <errorID>7ab98654-ded4-4e20-a01e-bdcd4dec2ac4</errorID>
      <errorWord>，</errorWord>
      <group>L1_Word</group>
      <groupName>字词问题</groupName>
      <ability>L2_Typo</ability>
      <abilityName>字词错误</abilityName>
      <candidateList>
        <item>，将</item>
      </candidateList>
      <explain/>
      <paraID>5F96084B</paraID>
      <start>55</start>
      <end>57</end>
      <status>modified</status>
      <modifiedWord>，将</modifiedWord>
      <trackRevisions>false</trackRevisions>
    </reviewItem>
    <reviewItem>
      <errorID>3b5882fe-c72d-4400-83cb-5ced4601befc</errorID>
      <errorWord>)</errorWord>
      <group>L1_Format</group>
      <groupName>格式问题</groupName>
      <ability>L2_HalfPunc</ability>
      <abilityName>全半角检查</abilityName>
      <candidateList>
        <item>）</item>
      </candidateList>
      <explain>文本全半角错误。</explain>
      <paraID>6B0A98D2</paraID>
      <start>103</start>
      <end>104</end>
      <status>unmodified</status>
      <modifiedWord/>
      <trackRevisions>false</trackRevisions>
    </reviewItem>
    <reviewItem>
      <errorID>df756a2b-1007-4995-b36a-b43bb95011e8</errorID>
      <errorWord>)</errorWord>
      <group>L1_Format</group>
      <groupName>格式问题</groupName>
      <ability>L2_HalfPunc</ability>
      <abilityName>全半角检查</abilityName>
      <candidateList>
        <item>）</item>
      </candidateList>
      <explain>文本全半角错误。</explain>
      <paraID>6B0A98D2</paraID>
      <start>142</start>
      <end>143</end>
      <status>unmodified</status>
      <modifiedWord/>
      <trackRevisions>false</trackRevisions>
    </reviewItem>
    <reviewItem>
      <errorID>8e7ac84d-e6ec-49bc-bfca-01de25e578c0</errorID>
      <errorWord>满意值</errorWord>
      <group>L1_Word</group>
      <groupName>字词问题</groupName>
      <ability>L2_Typo</ability>
      <abilityName>字词错误</abilityName>
      <candidateList>
        <item>满意度</item>
      </candidateList>
      <explain/>
      <paraID>77F161F3</paraID>
      <start>48</start>
      <end>51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f7dfa-bf32-4dc5-b300-cc8065a5e67e}">
  <ds:schemaRefs/>
</ds:datastoreItem>
</file>

<file path=docProps/app.xml><?xml version="1.0" encoding="utf-8"?>
<Properties xmlns="http://schemas.openxmlformats.org/officeDocument/2006/extended-properties" xmlns:vt="http://schemas.openxmlformats.org/officeDocument/2006/docPropsVTypes">
  <Template>Normal</Template>
  <Pages>42</Pages>
  <Words>14831</Words>
  <Characters>15642</Characters>
  <Lines>170</Lines>
  <Paragraphs>47</Paragraphs>
  <TotalTime>1</TotalTime>
  <ScaleCrop>false</ScaleCrop>
  <LinksUpToDate>false</LinksUpToDate>
  <CharactersWithSpaces>15677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2020-07-02T08:29:00Z</dcterms:created>
  <dc:creator>Administrator</dc:creator>
  <cp:lastModifiedBy>刘琴</cp:lastModifiedBy>
  <cp:lastPrinted>2021-08-11T07:30:00Z</cp:lastPrinted>
  <dcterms:modified xsi:type="dcterms:W3CDTF">2026-02-11T03:57:57Z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678B61D101FD4A83B8990B084C3A3589</vt:lpwstr>
  </property>
  <property fmtid="{D5CDD505-2E9C-101B-9397-08002B2CF9AE}" pid="4" name="KSOTemplateDocerSaveRecord">
    <vt:lpwstr>eyJoZGlkIjoiY2RiY2RhYmI4NzM4NjUyNjhhNTU1ZDBmYTBhYjQxNTgiLCJ1c2VySWQiOiIxMjk2NTU0ODQ3In0=</vt:lpwstr>
  </property>
</Properties>
</file>