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475"/>
      <w:bookmarkStart w:id="1" w:name="_Toc15377425"/>
      <w:bookmarkStart w:id="2" w:name="_Toc15378441"/>
      <w:bookmarkStart w:id="3" w:name="_Toc7791"/>
      <w:bookmarkStart w:id="4" w:name="_Toc15377193"/>
      <w:bookmarkStart w:id="5" w:name="_Toc15396597"/>
      <w:bookmarkStart w:id="47" w:name="_GoBack"/>
    </w:p>
    <w:p>
      <w:pPr>
        <w:adjustRightInd w:val="0"/>
        <w:snapToGrid w:val="0"/>
        <w:spacing w:line="360" w:lineRule="auto"/>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2021年度</w:t>
      </w:r>
      <w:bookmarkEnd w:id="0"/>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岳池县镇裕镇人民政府</w:t>
      </w:r>
    </w:p>
    <w:p>
      <w:pPr>
        <w:adjustRightInd w:val="0"/>
        <w:snapToGrid w:val="0"/>
        <w:spacing w:line="360" w:lineRule="auto"/>
        <w:jc w:val="center"/>
        <w:outlineLvl w:val="0"/>
        <w:rPr>
          <w:rFonts w:ascii="宋体" w:hAnsi="宋体" w:cs="宋体"/>
          <w:color w:val="000000"/>
          <w:sz w:val="48"/>
          <w:szCs w:val="48"/>
        </w:rPr>
      </w:pPr>
      <w:r>
        <w:rPr>
          <w:rFonts w:hint="eastAsia" w:ascii="方正小标宋简体" w:hAnsi="宋体" w:eastAsia="方正小标宋简体"/>
          <w:color w:val="000000"/>
          <w:sz w:val="72"/>
          <w:szCs w:val="72"/>
        </w:rPr>
        <w:t>部门决算</w:t>
      </w:r>
      <w:r>
        <w:rPr>
          <w:rFonts w:hint="eastAsia" w:ascii="方正小标宋简体" w:hAnsi="宋体" w:eastAsia="方正小标宋简体"/>
          <w:color w:val="000000"/>
          <w:sz w:val="72"/>
          <w:szCs w:val="72"/>
        </w:rPr>
        <w:br w:type="page"/>
      </w:r>
      <w:r>
        <w:rPr>
          <w:rFonts w:hint="eastAsia" w:ascii="宋体" w:hAnsi="宋体" w:cs="宋体"/>
          <w:color w:val="000000"/>
          <w:sz w:val="48"/>
          <w:szCs w:val="48"/>
        </w:rPr>
        <w:t>目录</w:t>
      </w:r>
    </w:p>
    <w:p>
      <w:pPr>
        <w:pStyle w:val="8"/>
        <w:tabs>
          <w:tab w:val="right" w:leader="dot" w:pos="8306"/>
          <w:tab w:val="clear" w:pos="8296"/>
        </w:tabs>
        <w:rPr>
          <w:rFonts w:ascii="宋体" w:hAnsi="宋体" w:cs="宋体"/>
        </w:rPr>
      </w:pPr>
      <w:r>
        <w:rPr>
          <w:rFonts w:hint="eastAsia" w:ascii="宋体" w:hAnsi="宋体" w:eastAsia="宋体" w:cs="宋体"/>
          <w:color w:val="000000"/>
        </w:rPr>
        <w:fldChar w:fldCharType="begin"/>
      </w:r>
      <w:r>
        <w:rPr>
          <w:rFonts w:hint="eastAsia" w:ascii="宋体" w:hAnsi="宋体" w:eastAsia="宋体" w:cs="宋体"/>
          <w:color w:val="000000"/>
        </w:rPr>
        <w:instrText xml:space="preserve"> TOC \o "1-2" \h \z \u </w:instrText>
      </w:r>
      <w:r>
        <w:rPr>
          <w:rFonts w:hint="eastAsia" w:ascii="宋体" w:hAnsi="宋体" w:eastAsia="宋体" w:cs="宋体"/>
          <w:color w:val="000000"/>
        </w:rPr>
        <w:fldChar w:fldCharType="separate"/>
      </w:r>
      <w:r>
        <w:fldChar w:fldCharType="begin"/>
      </w:r>
      <w:r>
        <w:instrText xml:space="preserve"> HYPERLINK \l "_Toc30483" </w:instrText>
      </w:r>
      <w:r>
        <w:fldChar w:fldCharType="separate"/>
      </w:r>
      <w:r>
        <w:rPr>
          <w:rFonts w:hint="eastAsia"/>
          <w:sz w:val="24"/>
        </w:rPr>
        <w:t>第一部分 部门概况</w:t>
      </w:r>
      <w:r>
        <w:rPr>
          <w:rFonts w:hint="eastAsia"/>
          <w:sz w:val="24"/>
        </w:rPr>
        <w:tab/>
      </w:r>
      <w:r>
        <w:rPr>
          <w:rFonts w:hint="eastAsia"/>
          <w:sz w:val="24"/>
        </w:rPr>
        <w:fldChar w:fldCharType="end"/>
      </w:r>
      <w:r>
        <w:rPr>
          <w:rFonts w:hint="eastAsia" w:ascii="Times New Roman" w:hAnsi="Times New Roman" w:eastAsia="宋体"/>
          <w:sz w:val="24"/>
          <w:szCs w:val="24"/>
        </w:rPr>
        <w:t>4</w:t>
      </w:r>
    </w:p>
    <w:p>
      <w:pPr>
        <w:pStyle w:val="9"/>
        <w:adjustRightInd w:val="0"/>
        <w:snapToGrid w:val="0"/>
        <w:spacing w:line="440" w:lineRule="exact"/>
        <w:jc w:val="left"/>
        <w:rPr>
          <w:sz w:val="24"/>
        </w:rPr>
      </w:pPr>
      <w:r>
        <w:fldChar w:fldCharType="begin"/>
      </w:r>
      <w:r>
        <w:instrText xml:space="preserve"> HYPERLINK \l "_Toc16316" </w:instrText>
      </w:r>
      <w:r>
        <w:fldChar w:fldCharType="separate"/>
      </w:r>
      <w:r>
        <w:rPr>
          <w:rFonts w:hint="eastAsia"/>
          <w:sz w:val="24"/>
        </w:rPr>
        <w:t>一、基本职能及主要工作</w:t>
      </w:r>
      <w:r>
        <w:rPr>
          <w:rFonts w:hint="eastAsia"/>
          <w:sz w:val="24"/>
        </w:rPr>
        <w:tab/>
      </w:r>
      <w:r>
        <w:rPr>
          <w:rFonts w:hint="eastAsia"/>
          <w:sz w:val="24"/>
        </w:rPr>
        <w:fldChar w:fldCharType="begin"/>
      </w:r>
      <w:r>
        <w:rPr>
          <w:rFonts w:hint="eastAsia"/>
          <w:sz w:val="24"/>
        </w:rPr>
        <w:instrText xml:space="preserve"> PAGEREF _Toc16316 </w:instrText>
      </w:r>
      <w:r>
        <w:rPr>
          <w:rFonts w:hint="eastAsia"/>
          <w:sz w:val="24"/>
        </w:rPr>
        <w:fldChar w:fldCharType="separate"/>
      </w:r>
      <w:r>
        <w:rPr>
          <w:sz w:val="24"/>
        </w:rPr>
        <w:t>4</w:t>
      </w:r>
      <w:r>
        <w:rPr>
          <w:rFonts w:hint="eastAsia"/>
          <w:sz w:val="24"/>
        </w:rPr>
        <w:fldChar w:fldCharType="end"/>
      </w:r>
      <w:r>
        <w:rPr>
          <w:rFonts w:hint="eastAsia"/>
          <w:sz w:val="24"/>
        </w:rPr>
        <w:fldChar w:fldCharType="end"/>
      </w:r>
    </w:p>
    <w:p>
      <w:pPr>
        <w:pStyle w:val="9"/>
        <w:adjustRightInd w:val="0"/>
        <w:snapToGrid w:val="0"/>
        <w:spacing w:line="440" w:lineRule="exact"/>
        <w:jc w:val="left"/>
        <w:rPr>
          <w:rFonts w:ascii="宋体" w:hAnsi="宋体" w:cs="宋体"/>
          <w:sz w:val="28"/>
          <w:szCs w:val="28"/>
        </w:rPr>
      </w:pPr>
      <w:r>
        <w:fldChar w:fldCharType="begin"/>
      </w:r>
      <w:r>
        <w:instrText xml:space="preserve"> HYPERLINK \l "_Toc9202" </w:instrText>
      </w:r>
      <w:r>
        <w:fldChar w:fldCharType="separate"/>
      </w:r>
      <w:r>
        <w:rPr>
          <w:rFonts w:hint="eastAsia"/>
          <w:sz w:val="24"/>
        </w:rPr>
        <w:t>二、机构设置</w:t>
      </w:r>
      <w:r>
        <w:rPr>
          <w:rFonts w:hint="eastAsia"/>
          <w:sz w:val="24"/>
        </w:rPr>
        <w:tab/>
      </w:r>
      <w:r>
        <w:rPr>
          <w:rFonts w:hint="eastAsia"/>
          <w:sz w:val="24"/>
        </w:rPr>
        <w:fldChar w:fldCharType="begin"/>
      </w:r>
      <w:r>
        <w:rPr>
          <w:rFonts w:hint="eastAsia"/>
          <w:sz w:val="24"/>
        </w:rPr>
        <w:instrText xml:space="preserve"> PAGEREF _Toc9202 </w:instrText>
      </w:r>
      <w:r>
        <w:rPr>
          <w:rFonts w:hint="eastAsia"/>
          <w:sz w:val="24"/>
        </w:rPr>
        <w:fldChar w:fldCharType="separate"/>
      </w:r>
      <w:r>
        <w:rPr>
          <w:sz w:val="24"/>
        </w:rPr>
        <w:t>5</w:t>
      </w:r>
      <w:r>
        <w:rPr>
          <w:rFonts w:hint="eastAsia"/>
          <w:sz w:val="24"/>
        </w:rPr>
        <w:fldChar w:fldCharType="end"/>
      </w:r>
      <w:r>
        <w:rPr>
          <w:rFonts w:hint="eastAsia"/>
          <w:sz w:val="24"/>
        </w:rPr>
        <w:fldChar w:fldCharType="end"/>
      </w:r>
    </w:p>
    <w:p>
      <w:pPr>
        <w:pStyle w:val="8"/>
        <w:tabs>
          <w:tab w:val="right" w:leader="dot" w:pos="8306"/>
          <w:tab w:val="clear" w:pos="8296"/>
        </w:tabs>
        <w:rPr>
          <w:sz w:val="24"/>
        </w:rPr>
      </w:pPr>
      <w:r>
        <w:fldChar w:fldCharType="begin"/>
      </w:r>
      <w:r>
        <w:instrText xml:space="preserve"> HYPERLINK \l "_Toc23276" </w:instrText>
      </w:r>
      <w:r>
        <w:fldChar w:fldCharType="separate"/>
      </w:r>
      <w:r>
        <w:rPr>
          <w:rFonts w:hint="eastAsia"/>
          <w:sz w:val="24"/>
        </w:rPr>
        <w:t>第二部分 2021年度部门决算情况说明</w:t>
      </w:r>
      <w:r>
        <w:rPr>
          <w:rFonts w:hint="eastAsia"/>
          <w:sz w:val="24"/>
        </w:rPr>
        <w:tab/>
      </w:r>
      <w:r>
        <w:rPr>
          <w:rFonts w:hint="eastAsia" w:ascii="Times New Roman" w:hAnsi="Times New Roman" w:eastAsia="宋体"/>
          <w:sz w:val="24"/>
          <w:szCs w:val="24"/>
        </w:rPr>
        <w:t>6</w:t>
      </w:r>
      <w:r>
        <w:rPr>
          <w:rFonts w:hint="eastAsia" w:ascii="Times New Roman" w:hAnsi="Times New Roman" w:eastAsia="宋体"/>
          <w:sz w:val="24"/>
          <w:szCs w:val="24"/>
        </w:rPr>
        <w:fldChar w:fldCharType="end"/>
      </w:r>
    </w:p>
    <w:p>
      <w:pPr>
        <w:pStyle w:val="9"/>
        <w:adjustRightInd w:val="0"/>
        <w:snapToGrid w:val="0"/>
        <w:spacing w:line="440" w:lineRule="exact"/>
        <w:jc w:val="left"/>
        <w:rPr>
          <w:sz w:val="24"/>
        </w:rPr>
      </w:pPr>
      <w:r>
        <w:fldChar w:fldCharType="begin"/>
      </w:r>
      <w:r>
        <w:instrText xml:space="preserve"> HYPERLINK \l "_Toc28830" </w:instrText>
      </w:r>
      <w:r>
        <w:fldChar w:fldCharType="separate"/>
      </w:r>
      <w:r>
        <w:rPr>
          <w:rFonts w:hint="eastAsia"/>
          <w:sz w:val="24"/>
        </w:rPr>
        <w:t>一、 收入支出决算总体情况说明</w:t>
      </w:r>
      <w:r>
        <w:rPr>
          <w:rFonts w:hint="eastAsia"/>
          <w:sz w:val="24"/>
        </w:rPr>
        <w:tab/>
      </w:r>
      <w:r>
        <w:rPr>
          <w:rFonts w:hint="eastAsia"/>
          <w:sz w:val="24"/>
        </w:rPr>
        <w:t>6</w:t>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"_Toc3927" </w:instrText>
      </w:r>
      <w:r>
        <w:fldChar w:fldCharType="separate"/>
      </w:r>
      <w:r>
        <w:rPr>
          <w:rFonts w:hint="eastAsia"/>
          <w:sz w:val="24"/>
        </w:rPr>
        <w:t>二、收入决算情况说明</w:t>
      </w:r>
      <w:r>
        <w:rPr>
          <w:rFonts w:hint="eastAsia"/>
          <w:sz w:val="24"/>
        </w:rPr>
        <w:tab/>
      </w:r>
      <w:r>
        <w:rPr>
          <w:rFonts w:hint="eastAsia"/>
          <w:sz w:val="24"/>
        </w:rPr>
        <w:fldChar w:fldCharType="begin"/>
      </w:r>
      <w:r>
        <w:rPr>
          <w:rFonts w:hint="eastAsia"/>
          <w:sz w:val="24"/>
        </w:rPr>
        <w:instrText xml:space="preserve"> PAGEREF _Toc3927 </w:instrText>
      </w:r>
      <w:r>
        <w:rPr>
          <w:rFonts w:hint="eastAsia"/>
          <w:sz w:val="24"/>
        </w:rPr>
        <w:fldChar w:fldCharType="separate"/>
      </w:r>
      <w:r>
        <w:rPr>
          <w:sz w:val="24"/>
        </w:rPr>
        <w:t>6</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"_Toc7506" </w:instrText>
      </w:r>
      <w:r>
        <w:fldChar w:fldCharType="separate"/>
      </w:r>
      <w:r>
        <w:rPr>
          <w:rFonts w:hint="eastAsia"/>
          <w:sz w:val="24"/>
        </w:rPr>
        <w:t>三、支出决算情况说明</w:t>
      </w:r>
      <w:r>
        <w:rPr>
          <w:rFonts w:hint="eastAsia"/>
          <w:sz w:val="24"/>
        </w:rPr>
        <w:tab/>
      </w:r>
      <w:r>
        <w:rPr>
          <w:rFonts w:hint="eastAsia"/>
          <w:sz w:val="24"/>
        </w:rPr>
        <w:fldChar w:fldCharType="begin"/>
      </w:r>
      <w:r>
        <w:rPr>
          <w:rFonts w:hint="eastAsia"/>
          <w:sz w:val="24"/>
        </w:rPr>
        <w:instrText xml:space="preserve"> PAGEREF _Toc7506 </w:instrText>
      </w:r>
      <w:r>
        <w:rPr>
          <w:rFonts w:hint="eastAsia"/>
          <w:sz w:val="24"/>
        </w:rPr>
        <w:fldChar w:fldCharType="separate"/>
      </w:r>
      <w:r>
        <w:rPr>
          <w:sz w:val="24"/>
        </w:rPr>
        <w:t>7</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"_Toc8663" </w:instrText>
      </w:r>
      <w:r>
        <w:fldChar w:fldCharType="separate"/>
      </w:r>
      <w:r>
        <w:rPr>
          <w:rFonts w:hint="eastAsia"/>
          <w:sz w:val="24"/>
        </w:rPr>
        <w:t>四、财政拨款收支决算情况</w:t>
      </w:r>
      <w:r>
        <w:rPr>
          <w:rFonts w:hint="eastAsia"/>
          <w:sz w:val="24"/>
        </w:rPr>
        <w:tab/>
      </w:r>
      <w:r>
        <w:rPr>
          <w:rFonts w:hint="eastAsia"/>
          <w:sz w:val="24"/>
        </w:rPr>
        <w:fldChar w:fldCharType="begin"/>
      </w:r>
      <w:r>
        <w:rPr>
          <w:rFonts w:hint="eastAsia"/>
          <w:sz w:val="24"/>
        </w:rPr>
        <w:instrText xml:space="preserve"> PAGEREF _Toc8663 </w:instrText>
      </w:r>
      <w:r>
        <w:rPr>
          <w:rFonts w:hint="eastAsia"/>
          <w:sz w:val="24"/>
        </w:rPr>
        <w:fldChar w:fldCharType="separate"/>
      </w:r>
      <w:r>
        <w:rPr>
          <w:sz w:val="24"/>
        </w:rPr>
        <w:t>7</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"_Toc16303" </w:instrText>
      </w:r>
      <w:r>
        <w:fldChar w:fldCharType="separate"/>
      </w:r>
      <w:r>
        <w:rPr>
          <w:rFonts w:hint="eastAsia"/>
          <w:sz w:val="24"/>
        </w:rPr>
        <w:t>五、 一般公共预算财政拨款支出决算情况说明</w:t>
      </w:r>
      <w:r>
        <w:rPr>
          <w:rFonts w:hint="eastAsia"/>
          <w:sz w:val="24"/>
        </w:rPr>
        <w:tab/>
      </w:r>
      <w:r>
        <w:rPr>
          <w:rFonts w:hint="eastAsia"/>
          <w:sz w:val="24"/>
        </w:rPr>
        <w:fldChar w:fldCharType="begin"/>
      </w:r>
      <w:r>
        <w:rPr>
          <w:rFonts w:hint="eastAsia"/>
          <w:sz w:val="24"/>
        </w:rPr>
        <w:instrText xml:space="preserve"> PAGEREF _Toc16303 </w:instrText>
      </w:r>
      <w:r>
        <w:rPr>
          <w:rFonts w:hint="eastAsia"/>
          <w:sz w:val="24"/>
        </w:rPr>
        <w:fldChar w:fldCharType="separate"/>
      </w:r>
      <w:r>
        <w:rPr>
          <w:sz w:val="24"/>
        </w:rPr>
        <w:t>8</w:t>
      </w:r>
      <w:r>
        <w:rPr>
          <w:rFonts w:hint="eastAsia"/>
          <w:sz w:val="24"/>
        </w:rPr>
        <w:fldChar w:fldCharType="end"/>
      </w:r>
      <w:r>
        <w:rPr>
          <w:rFonts w:hint="eastAsia"/>
          <w:sz w:val="24"/>
        </w:rPr>
        <w:fldChar w:fldCharType="end"/>
      </w:r>
    </w:p>
    <w:p>
      <w:pPr>
        <w:pStyle w:val="9"/>
        <w:adjustRightInd w:val="0"/>
        <w:snapToGrid w:val="0"/>
        <w:spacing w:line="440" w:lineRule="exact"/>
        <w:jc w:val="left"/>
        <w:rPr>
          <w:b/>
          <w:bCs/>
          <w:sz w:val="24"/>
        </w:rPr>
      </w:pPr>
      <w:r>
        <w:fldChar w:fldCharType="begin"/>
      </w:r>
      <w:r>
        <w:instrText xml:space="preserve"> HYPERLINK \l "_Toc16356" </w:instrText>
      </w:r>
      <w:r>
        <w:fldChar w:fldCharType="separate"/>
      </w:r>
      <w:r>
        <w:rPr>
          <w:rFonts w:hint="eastAsia"/>
          <w:sz w:val="24"/>
        </w:rPr>
        <w:t>六、一般公共预算财政拨款基本支出决算情况说明</w:t>
      </w:r>
      <w:r>
        <w:rPr>
          <w:rFonts w:hint="eastAsia"/>
          <w:sz w:val="24"/>
        </w:rPr>
        <w:tab/>
      </w:r>
      <w:r>
        <w:rPr>
          <w:rFonts w:hint="eastAsia"/>
          <w:sz w:val="24"/>
        </w:rPr>
        <w:t>1</w:t>
      </w:r>
      <w:r>
        <w:rPr>
          <w:rFonts w:hint="eastAsia"/>
          <w:sz w:val="24"/>
        </w:rPr>
        <w:fldChar w:fldCharType="end"/>
      </w:r>
      <w:r>
        <w:rPr>
          <w:rFonts w:hint="eastAsia"/>
          <w:sz w:val="24"/>
        </w:rPr>
        <w:t xml:space="preserve">0                      </w:t>
      </w:r>
      <w:r>
        <w:fldChar w:fldCharType="begin"/>
      </w:r>
      <w:r>
        <w:instrText xml:space="preserve"> HYPERLINK \l "_Toc16356" </w:instrText>
      </w:r>
      <w:r>
        <w:fldChar w:fldCharType="separate"/>
      </w:r>
      <w:r>
        <w:rPr>
          <w:rFonts w:hint="eastAsia"/>
          <w:sz w:val="24"/>
        </w:rPr>
        <w:t>七、一般公共预算财政拨款项目支出决算情况说明</w:t>
      </w:r>
      <w:r>
        <w:rPr>
          <w:rFonts w:hint="eastAsia"/>
          <w:sz w:val="24"/>
        </w:rPr>
        <w:tab/>
      </w:r>
      <w:r>
        <w:rPr>
          <w:rFonts w:hint="eastAsia"/>
          <w:sz w:val="24"/>
        </w:rPr>
        <w:fldChar w:fldCharType="begin"/>
      </w:r>
      <w:r>
        <w:rPr>
          <w:rFonts w:hint="eastAsia"/>
          <w:sz w:val="24"/>
        </w:rPr>
        <w:instrText xml:space="preserve"> PAGEREF _Toc16356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"_Toc24123" </w:instrText>
      </w:r>
      <w:r>
        <w:fldChar w:fldCharType="separate"/>
      </w:r>
      <w:r>
        <w:rPr>
          <w:rFonts w:hint="eastAsia"/>
          <w:sz w:val="24"/>
        </w:rPr>
        <w:t>八、“三公”经费财政拨款支出决算情况说明</w:t>
      </w:r>
      <w:r>
        <w:rPr>
          <w:rFonts w:hint="eastAsia"/>
          <w:sz w:val="24"/>
        </w:rPr>
        <w:tab/>
      </w:r>
      <w:r>
        <w:rPr>
          <w:rFonts w:hint="eastAsia"/>
          <w:sz w:val="24"/>
        </w:rPr>
        <w:t>1</w:t>
      </w:r>
      <w:r>
        <w:rPr>
          <w:rFonts w:hint="eastAsia"/>
          <w:sz w:val="24"/>
        </w:rPr>
        <w:fldChar w:fldCharType="end"/>
      </w:r>
      <w:r>
        <w:rPr>
          <w:rFonts w:hint="eastAsia"/>
          <w:sz w:val="24"/>
        </w:rPr>
        <w:t>3</w:t>
      </w:r>
    </w:p>
    <w:p>
      <w:pPr>
        <w:pStyle w:val="9"/>
        <w:adjustRightInd w:val="0"/>
        <w:snapToGrid w:val="0"/>
        <w:spacing w:line="440" w:lineRule="exact"/>
        <w:jc w:val="left"/>
        <w:rPr>
          <w:sz w:val="24"/>
        </w:rPr>
      </w:pPr>
      <w:r>
        <w:fldChar w:fldCharType="begin"/>
      </w:r>
      <w:r>
        <w:instrText xml:space="preserve"> HYPERLINK \l "_Toc25022" </w:instrText>
      </w:r>
      <w:r>
        <w:fldChar w:fldCharType="separate"/>
      </w:r>
      <w:r>
        <w:rPr>
          <w:rFonts w:hint="eastAsia"/>
          <w:sz w:val="24"/>
        </w:rPr>
        <w:t>九、政府性基金预算财政拨款支出决算情况</w:t>
      </w:r>
      <w:r>
        <w:rPr>
          <w:rFonts w:hint="eastAsia"/>
          <w:sz w:val="24"/>
        </w:rPr>
        <w:tab/>
      </w:r>
      <w:r>
        <w:rPr>
          <w:rFonts w:hint="eastAsia"/>
          <w:sz w:val="24"/>
        </w:rPr>
        <w:fldChar w:fldCharType="begin"/>
      </w:r>
      <w:r>
        <w:rPr>
          <w:rFonts w:hint="eastAsia"/>
          <w:sz w:val="24"/>
        </w:rPr>
        <w:instrText xml:space="preserve"> PAGEREF _Toc25022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"_Toc18765" </w:instrText>
      </w:r>
      <w:r>
        <w:fldChar w:fldCharType="separate"/>
      </w:r>
      <w:r>
        <w:rPr>
          <w:rFonts w:hint="eastAsia"/>
          <w:sz w:val="24"/>
        </w:rPr>
        <w:t>十、国有资本经营预算支出决算情况说明</w:t>
      </w:r>
      <w:r>
        <w:rPr>
          <w:rFonts w:hint="eastAsia"/>
          <w:sz w:val="24"/>
        </w:rPr>
        <w:tab/>
      </w:r>
      <w:r>
        <w:rPr>
          <w:rFonts w:hint="eastAsia"/>
          <w:sz w:val="24"/>
        </w:rPr>
        <w:fldChar w:fldCharType="begin"/>
      </w:r>
      <w:r>
        <w:rPr>
          <w:rFonts w:hint="eastAsia"/>
          <w:sz w:val="24"/>
        </w:rPr>
        <w:instrText xml:space="preserve"> PAGEREF _Toc18765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rFonts w:ascii="宋体" w:hAnsi="宋体" w:cs="宋体"/>
          <w:sz w:val="28"/>
          <w:szCs w:val="28"/>
        </w:rPr>
      </w:pPr>
      <w:r>
        <w:fldChar w:fldCharType="begin"/>
      </w:r>
      <w:r>
        <w:instrText xml:space="preserve"> HYPERLINK \l "_Toc28318" </w:instrText>
      </w:r>
      <w:r>
        <w:fldChar w:fldCharType="separate"/>
      </w:r>
      <w:r>
        <w:rPr>
          <w:rFonts w:hint="eastAsia"/>
          <w:sz w:val="24"/>
        </w:rPr>
        <w:t>十一、其他重要事项的情况说明</w:t>
      </w:r>
      <w:r>
        <w:rPr>
          <w:rFonts w:hint="eastAsia"/>
          <w:sz w:val="24"/>
        </w:rPr>
        <w:tab/>
      </w:r>
      <w:r>
        <w:rPr>
          <w:rFonts w:hint="eastAsia"/>
          <w:sz w:val="24"/>
        </w:rPr>
        <w:fldChar w:fldCharType="begin"/>
      </w:r>
      <w:r>
        <w:rPr>
          <w:rFonts w:hint="eastAsia"/>
          <w:sz w:val="24"/>
        </w:rPr>
        <w:instrText xml:space="preserve"> PAGEREF _Toc28318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8"/>
        <w:tabs>
          <w:tab w:val="right" w:leader="dot" w:pos="8306"/>
          <w:tab w:val="clear" w:pos="8296"/>
        </w:tabs>
        <w:rPr>
          <w:sz w:val="24"/>
        </w:rPr>
      </w:pPr>
      <w:r>
        <w:fldChar w:fldCharType="begin"/>
      </w:r>
      <w:r>
        <w:instrText xml:space="preserve"> HYPERLINK \l "_Toc16195" </w:instrText>
      </w:r>
      <w:r>
        <w:fldChar w:fldCharType="separate"/>
      </w:r>
      <w:r>
        <w:rPr>
          <w:rFonts w:hint="eastAsia"/>
          <w:sz w:val="24"/>
        </w:rPr>
        <w:t>第三部分 名词解释</w:t>
      </w:r>
      <w:r>
        <w:rPr>
          <w:rFonts w:hint="eastAsia"/>
          <w:sz w:val="24"/>
        </w:rPr>
        <w:tab/>
      </w:r>
      <w:r>
        <w:rPr>
          <w:rFonts w:hint="eastAsia" w:ascii="Times New Roman" w:hAnsi="Times New Roman" w:eastAsia="宋体"/>
          <w:sz w:val="24"/>
          <w:szCs w:val="24"/>
        </w:rPr>
        <w:fldChar w:fldCharType="begin"/>
      </w:r>
      <w:r>
        <w:rPr>
          <w:rFonts w:hint="eastAsia" w:ascii="Times New Roman" w:hAnsi="Times New Roman" w:eastAsia="宋体"/>
          <w:sz w:val="24"/>
          <w:szCs w:val="24"/>
        </w:rPr>
        <w:instrText xml:space="preserve"> PAGEREF _Toc16195 </w:instrText>
      </w:r>
      <w:r>
        <w:rPr>
          <w:rFonts w:hint="eastAsia" w:ascii="Times New Roman" w:hAnsi="Times New Roman" w:eastAsia="宋体"/>
          <w:sz w:val="24"/>
          <w:szCs w:val="24"/>
        </w:rPr>
        <w:fldChar w:fldCharType="separate"/>
      </w:r>
      <w:r>
        <w:rPr>
          <w:rFonts w:ascii="Times New Roman" w:hAnsi="Times New Roman" w:eastAsia="宋体"/>
          <w:sz w:val="24"/>
          <w:szCs w:val="24"/>
        </w:rPr>
        <w:t>12</w:t>
      </w:r>
      <w:r>
        <w:rPr>
          <w:rFonts w:hint="eastAsia" w:ascii="Times New Roman" w:hAnsi="Times New Roman" w:eastAsia="宋体"/>
          <w:sz w:val="24"/>
          <w:szCs w:val="24"/>
        </w:rPr>
        <w:fldChar w:fldCharType="end"/>
      </w:r>
      <w:r>
        <w:rPr>
          <w:rFonts w:hint="eastAsia" w:ascii="Times New Roman" w:hAnsi="Times New Roman" w:eastAsia="宋体"/>
          <w:sz w:val="24"/>
          <w:szCs w:val="24"/>
        </w:rPr>
        <w:fldChar w:fldCharType="end"/>
      </w:r>
    </w:p>
    <w:p>
      <w:pPr>
        <w:pStyle w:val="8"/>
        <w:tabs>
          <w:tab w:val="right" w:leader="dot" w:pos="8306"/>
          <w:tab w:val="clear" w:pos="8296"/>
        </w:tabs>
        <w:rPr>
          <w:rFonts w:ascii="宋体" w:hAnsi="宋体" w:eastAsia="宋体" w:cs="宋体"/>
        </w:rPr>
      </w:pPr>
      <w:r>
        <w:fldChar w:fldCharType="begin"/>
      </w:r>
      <w:r>
        <w:instrText xml:space="preserve"> HYPERLINK \l "_Toc14843" </w:instrText>
      </w:r>
      <w:r>
        <w:fldChar w:fldCharType="separate"/>
      </w:r>
      <w:r>
        <w:rPr>
          <w:rFonts w:hint="eastAsia"/>
          <w:sz w:val="24"/>
        </w:rPr>
        <w:t>第四部分 第四部分  附件</w:t>
      </w:r>
      <w:r>
        <w:rPr>
          <w:rFonts w:hint="eastAsia"/>
          <w:sz w:val="24"/>
        </w:rPr>
        <w:tab/>
      </w:r>
      <w:r>
        <w:rPr>
          <w:rFonts w:hint="eastAsia" w:ascii="Times New Roman" w:hAnsi="Times New Roman" w:eastAsia="宋体"/>
          <w:sz w:val="24"/>
          <w:szCs w:val="24"/>
        </w:rPr>
        <w:fldChar w:fldCharType="begin"/>
      </w:r>
      <w:r>
        <w:rPr>
          <w:rFonts w:hint="eastAsia" w:ascii="Times New Roman" w:hAnsi="Times New Roman" w:eastAsia="宋体"/>
          <w:sz w:val="24"/>
          <w:szCs w:val="24"/>
        </w:rPr>
        <w:instrText xml:space="preserve"> PAGEREF _Toc14843 </w:instrText>
      </w:r>
      <w:r>
        <w:rPr>
          <w:rFonts w:hint="eastAsia" w:ascii="Times New Roman" w:hAnsi="Times New Roman" w:eastAsia="宋体"/>
          <w:sz w:val="24"/>
          <w:szCs w:val="24"/>
        </w:rPr>
        <w:fldChar w:fldCharType="separate"/>
      </w:r>
      <w:r>
        <w:rPr>
          <w:rFonts w:ascii="Times New Roman" w:hAnsi="Times New Roman" w:eastAsia="宋体"/>
          <w:sz w:val="24"/>
          <w:szCs w:val="24"/>
        </w:rPr>
        <w:t>12</w:t>
      </w:r>
      <w:r>
        <w:rPr>
          <w:rFonts w:hint="eastAsia" w:ascii="Times New Roman" w:hAnsi="Times New Roman" w:eastAsia="宋体"/>
          <w:sz w:val="24"/>
          <w:szCs w:val="24"/>
        </w:rPr>
        <w:fldChar w:fldCharType="end"/>
      </w:r>
      <w:r>
        <w:rPr>
          <w:rFonts w:hint="eastAsia" w:ascii="Times New Roman" w:hAnsi="Times New Roman" w:eastAsia="宋体"/>
          <w:sz w:val="24"/>
          <w:szCs w:val="24"/>
        </w:rPr>
        <w:fldChar w:fldCharType="end"/>
      </w:r>
    </w:p>
    <w:p>
      <w:pPr>
        <w:pStyle w:val="9"/>
        <w:adjustRightInd w:val="0"/>
        <w:snapToGrid w:val="0"/>
        <w:spacing w:line="440" w:lineRule="exact"/>
        <w:jc w:val="left"/>
        <w:rPr>
          <w:sz w:val="24"/>
        </w:rPr>
      </w:pPr>
      <w:r>
        <w:fldChar w:fldCharType="begin"/>
      </w:r>
      <w:r>
        <w:instrText xml:space="preserve"> HYPERLINK \l "_Toc17867" </w:instrText>
      </w:r>
      <w:r>
        <w:fldChar w:fldCharType="separate"/>
      </w:r>
      <w:r>
        <w:rPr>
          <w:rFonts w:hint="eastAsia"/>
          <w:sz w:val="24"/>
        </w:rPr>
        <w:t>一、部门(单位)情况</w:t>
      </w:r>
      <w:r>
        <w:rPr>
          <w:rFonts w:hint="eastAsia"/>
          <w:sz w:val="24"/>
        </w:rPr>
        <w:tab/>
      </w:r>
      <w:r>
        <w:rPr>
          <w:rFonts w:hint="eastAsia"/>
          <w:sz w:val="24"/>
        </w:rPr>
        <w:fldChar w:fldCharType="end"/>
      </w:r>
      <w:r>
        <w:rPr>
          <w:rFonts w:hint="eastAsia"/>
          <w:sz w:val="24"/>
        </w:rPr>
        <w:t>21</w:t>
      </w:r>
    </w:p>
    <w:p>
      <w:pPr>
        <w:pStyle w:val="9"/>
        <w:adjustRightInd w:val="0"/>
        <w:snapToGrid w:val="0"/>
        <w:spacing w:line="440" w:lineRule="exact"/>
        <w:jc w:val="left"/>
        <w:rPr>
          <w:sz w:val="24"/>
        </w:rPr>
      </w:pPr>
      <w:r>
        <w:fldChar w:fldCharType="begin"/>
      </w:r>
      <w:r>
        <w:instrText xml:space="preserve"> HYPERLINK \l "_Toc10400" </w:instrText>
      </w:r>
      <w:r>
        <w:fldChar w:fldCharType="separate"/>
      </w:r>
      <w:r>
        <w:rPr>
          <w:rFonts w:hint="eastAsia"/>
          <w:sz w:val="24"/>
        </w:rPr>
        <w:t>二、收入支出预算执行情况分析</w:t>
      </w:r>
      <w:r>
        <w:rPr>
          <w:rFonts w:hint="eastAsia"/>
          <w:sz w:val="24"/>
        </w:rPr>
        <w:tab/>
      </w:r>
      <w:r>
        <w:rPr>
          <w:rFonts w:hint="eastAsia"/>
          <w:sz w:val="24"/>
        </w:rPr>
        <w:fldChar w:fldCharType="end"/>
      </w:r>
      <w:r>
        <w:rPr>
          <w:rFonts w:hint="eastAsia"/>
          <w:sz w:val="24"/>
        </w:rPr>
        <w:t>22</w:t>
      </w:r>
    </w:p>
    <w:p>
      <w:pPr>
        <w:pStyle w:val="9"/>
        <w:adjustRightInd w:val="0"/>
        <w:snapToGrid w:val="0"/>
        <w:spacing w:line="440" w:lineRule="exact"/>
        <w:jc w:val="left"/>
        <w:rPr>
          <w:sz w:val="24"/>
        </w:rPr>
      </w:pPr>
      <w:r>
        <w:fldChar w:fldCharType="begin"/>
      </w:r>
      <w:r>
        <w:instrText xml:space="preserve"> HYPERLINK \l "_Toc16065" </w:instrText>
      </w:r>
      <w:r>
        <w:fldChar w:fldCharType="separate"/>
      </w:r>
      <w:r>
        <w:rPr>
          <w:rFonts w:hint="eastAsia"/>
          <w:sz w:val="24"/>
        </w:rPr>
        <w:t>三、本年度部门决算等财务工作开展情况</w:t>
      </w:r>
      <w:r>
        <w:rPr>
          <w:rFonts w:hint="eastAsia"/>
          <w:sz w:val="24"/>
        </w:rPr>
        <w:tab/>
      </w:r>
      <w:r>
        <w:rPr>
          <w:rFonts w:hint="eastAsia"/>
          <w:sz w:val="24"/>
        </w:rPr>
        <w:fldChar w:fldCharType="begin"/>
      </w:r>
      <w:r>
        <w:rPr>
          <w:rFonts w:hint="eastAsia"/>
          <w:sz w:val="24"/>
        </w:rPr>
        <w:instrText xml:space="preserve"> PAGEREF _Toc16065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"_Toc16065" </w:instrText>
      </w:r>
      <w:r>
        <w:fldChar w:fldCharType="separate"/>
      </w:r>
      <w:r>
        <w:rPr>
          <w:rFonts w:hint="eastAsia"/>
          <w:sz w:val="24"/>
        </w:rPr>
        <w:t>四、存在问题</w:t>
      </w:r>
      <w:r>
        <w:rPr>
          <w:rFonts w:hint="eastAsia"/>
          <w:sz w:val="24"/>
        </w:rPr>
        <w:tab/>
      </w:r>
      <w:r>
        <w:rPr>
          <w:rFonts w:hint="eastAsia"/>
          <w:sz w:val="24"/>
        </w:rPr>
        <w:fldChar w:fldCharType="begin"/>
      </w:r>
      <w:r>
        <w:rPr>
          <w:rFonts w:hint="eastAsia"/>
          <w:sz w:val="24"/>
        </w:rPr>
        <w:instrText xml:space="preserve"> PAGEREF _Toc16065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rFonts w:ascii="宋体" w:hAnsi="宋体" w:cs="宋体"/>
          <w:color w:val="000000"/>
          <w:sz w:val="28"/>
          <w:szCs w:val="28"/>
        </w:rPr>
      </w:pPr>
      <w:r>
        <w:fldChar w:fldCharType="begin"/>
      </w:r>
      <w:r>
        <w:instrText xml:space="preserve"> HYPERLINK \l "_Toc16065" </w:instrText>
      </w:r>
      <w:r>
        <w:fldChar w:fldCharType="separate"/>
      </w:r>
      <w:r>
        <w:rPr>
          <w:rFonts w:hint="eastAsia"/>
          <w:sz w:val="24"/>
        </w:rPr>
        <w:t>五、今后打算及整改措施</w:t>
      </w:r>
      <w:r>
        <w:rPr>
          <w:rFonts w:hint="eastAsia"/>
          <w:sz w:val="24"/>
        </w:rPr>
        <w:tab/>
      </w:r>
      <w:r>
        <w:rPr>
          <w:rFonts w:hint="eastAsia"/>
          <w:sz w:val="24"/>
        </w:rPr>
        <w:fldChar w:fldCharType="begin"/>
      </w:r>
      <w:r>
        <w:rPr>
          <w:rFonts w:hint="eastAsia"/>
          <w:sz w:val="24"/>
        </w:rPr>
        <w:instrText xml:space="preserve"> PAGEREF _Toc16065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8"/>
        <w:tabs>
          <w:tab w:val="right" w:leader="dot" w:pos="8306"/>
          <w:tab w:val="clear" w:pos="8296"/>
        </w:tabs>
        <w:rPr>
          <w:sz w:val="24"/>
        </w:rPr>
      </w:pPr>
      <w:r>
        <w:fldChar w:fldCharType="begin"/>
      </w:r>
      <w:r>
        <w:instrText xml:space="preserve"> HYPERLINK \l "_Toc3122" </w:instrText>
      </w:r>
      <w:r>
        <w:fldChar w:fldCharType="separate"/>
      </w:r>
      <w:r>
        <w:rPr>
          <w:rFonts w:hint="eastAsia"/>
          <w:sz w:val="24"/>
        </w:rPr>
        <w:t>第五部分 附表</w:t>
      </w:r>
      <w:r>
        <w:rPr>
          <w:rFonts w:hint="eastAsia"/>
          <w:sz w:val="24"/>
        </w:rPr>
        <w:tab/>
      </w:r>
      <w:r>
        <w:rPr>
          <w:rFonts w:hint="eastAsia" w:ascii="Times New Roman" w:hAnsi="Times New Roman" w:eastAsia="宋体"/>
          <w:sz w:val="24"/>
          <w:szCs w:val="24"/>
        </w:rPr>
        <w:fldChar w:fldCharType="begin"/>
      </w:r>
      <w:r>
        <w:rPr>
          <w:rFonts w:hint="eastAsia" w:ascii="Times New Roman" w:hAnsi="Times New Roman" w:eastAsia="宋体"/>
          <w:sz w:val="24"/>
          <w:szCs w:val="24"/>
        </w:rPr>
        <w:instrText xml:space="preserve"> PAGEREF _Toc3122 </w:instrText>
      </w:r>
      <w:r>
        <w:rPr>
          <w:rFonts w:hint="eastAsia" w:ascii="Times New Roman" w:hAnsi="Times New Roman" w:eastAsia="宋体"/>
          <w:sz w:val="24"/>
          <w:szCs w:val="24"/>
        </w:rPr>
        <w:fldChar w:fldCharType="separate"/>
      </w:r>
      <w:r>
        <w:rPr>
          <w:rFonts w:ascii="Times New Roman" w:hAnsi="Times New Roman" w:eastAsia="宋体"/>
          <w:sz w:val="24"/>
          <w:szCs w:val="24"/>
        </w:rPr>
        <w:t>12</w:t>
      </w:r>
      <w:r>
        <w:rPr>
          <w:rFonts w:hint="eastAsia" w:ascii="Times New Roman" w:hAnsi="Times New Roman" w:eastAsia="宋体"/>
          <w:sz w:val="24"/>
          <w:szCs w:val="24"/>
        </w:rPr>
        <w:fldChar w:fldCharType="end"/>
      </w:r>
      <w:r>
        <w:rPr>
          <w:rFonts w:hint="eastAsia" w:ascii="Times New Roman" w:hAnsi="Times New Roman" w:eastAsia="宋体"/>
          <w:sz w:val="24"/>
          <w:szCs w:val="24"/>
        </w:rPr>
        <w:fldChar w:fldCharType="end"/>
      </w:r>
    </w:p>
    <w:p>
      <w:pPr>
        <w:pStyle w:val="9"/>
        <w:adjustRightInd w:val="0"/>
        <w:snapToGrid w:val="0"/>
        <w:spacing w:line="440" w:lineRule="exact"/>
        <w:jc w:val="left"/>
        <w:rPr>
          <w:sz w:val="24"/>
        </w:rPr>
      </w:pPr>
      <w:r>
        <w:fldChar w:fldCharType="begin"/>
      </w:r>
      <w:r>
        <w:instrText xml:space="preserve"> HYPERLINK \l "_Toc20823" </w:instrText>
      </w:r>
      <w:r>
        <w:fldChar w:fldCharType="separate"/>
      </w:r>
      <w:r>
        <w:rPr>
          <w:rFonts w:hint="eastAsia"/>
          <w:sz w:val="24"/>
        </w:rPr>
        <w:t>一、收入支出决算总表</w:t>
      </w:r>
      <w:r>
        <w:rPr>
          <w:rFonts w:hint="eastAsia"/>
          <w:sz w:val="24"/>
        </w:rPr>
        <w:tab/>
      </w:r>
      <w:r>
        <w:rPr>
          <w:rFonts w:hint="eastAsia"/>
          <w:sz w:val="24"/>
        </w:rPr>
        <w:fldChar w:fldCharType="begin"/>
      </w:r>
      <w:r>
        <w:rPr>
          <w:rFonts w:hint="eastAsia"/>
          <w:sz w:val="24"/>
        </w:rPr>
        <w:instrText xml:space="preserve"> PAGEREF _Toc20823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"_Toc8877" </w:instrText>
      </w:r>
      <w:r>
        <w:fldChar w:fldCharType="separate"/>
      </w:r>
      <w:r>
        <w:rPr>
          <w:rFonts w:hint="eastAsia"/>
          <w:sz w:val="24"/>
        </w:rPr>
        <w:t>二、收入总表</w:t>
      </w:r>
      <w:r>
        <w:rPr>
          <w:rFonts w:hint="eastAsia"/>
          <w:sz w:val="24"/>
        </w:rPr>
        <w:tab/>
      </w:r>
      <w:r>
        <w:rPr>
          <w:rFonts w:hint="eastAsia"/>
          <w:sz w:val="24"/>
        </w:rPr>
        <w:fldChar w:fldCharType="begin"/>
      </w:r>
      <w:r>
        <w:rPr>
          <w:rFonts w:hint="eastAsia"/>
          <w:sz w:val="24"/>
        </w:rPr>
        <w:instrText xml:space="preserve"> PAGEREF _Toc8877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"_Toc4296" </w:instrText>
      </w:r>
      <w:r>
        <w:fldChar w:fldCharType="separate"/>
      </w:r>
      <w:r>
        <w:rPr>
          <w:rFonts w:hint="eastAsia"/>
          <w:sz w:val="24"/>
        </w:rPr>
        <w:t>三、支出总表</w:t>
      </w:r>
      <w:r>
        <w:rPr>
          <w:rFonts w:hint="eastAsia"/>
          <w:sz w:val="24"/>
        </w:rPr>
        <w:tab/>
      </w:r>
      <w:r>
        <w:rPr>
          <w:rFonts w:hint="eastAsia"/>
          <w:sz w:val="24"/>
        </w:rPr>
        <w:fldChar w:fldCharType="begin"/>
      </w:r>
      <w:r>
        <w:rPr>
          <w:rFonts w:hint="eastAsia"/>
          <w:sz w:val="24"/>
        </w:rPr>
        <w:instrText xml:space="preserve"> PAGEREF _Toc4296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"_Toc4818" </w:instrText>
      </w:r>
      <w:r>
        <w:fldChar w:fldCharType="separate"/>
      </w:r>
      <w:r>
        <w:rPr>
          <w:rFonts w:hint="eastAsia"/>
          <w:sz w:val="24"/>
        </w:rPr>
        <w:t>四、财政拨款收入支出决算总表</w:t>
      </w:r>
      <w:r>
        <w:rPr>
          <w:rFonts w:hint="eastAsia"/>
          <w:sz w:val="24"/>
        </w:rPr>
        <w:tab/>
      </w:r>
      <w:r>
        <w:rPr>
          <w:rFonts w:hint="eastAsia"/>
          <w:sz w:val="24"/>
        </w:rPr>
        <w:fldChar w:fldCharType="begin"/>
      </w:r>
      <w:r>
        <w:rPr>
          <w:rFonts w:hint="eastAsia"/>
          <w:sz w:val="24"/>
        </w:rPr>
        <w:instrText xml:space="preserve"> PAGEREF _Toc4818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"_Toc3992" </w:instrText>
      </w:r>
      <w:r>
        <w:fldChar w:fldCharType="separate"/>
      </w:r>
      <w:r>
        <w:rPr>
          <w:rFonts w:hint="eastAsia"/>
          <w:sz w:val="24"/>
        </w:rPr>
        <w:t>五、财政拨款支出决算明细表（政府经济分类科目）</w:t>
      </w:r>
      <w:r>
        <w:rPr>
          <w:rFonts w:hint="eastAsia"/>
          <w:sz w:val="24"/>
        </w:rPr>
        <w:tab/>
      </w:r>
      <w:r>
        <w:rPr>
          <w:rFonts w:hint="eastAsia"/>
          <w:sz w:val="24"/>
        </w:rPr>
        <w:fldChar w:fldCharType="begin"/>
      </w:r>
      <w:r>
        <w:rPr>
          <w:rFonts w:hint="eastAsia"/>
          <w:sz w:val="24"/>
        </w:rPr>
        <w:instrText xml:space="preserve"> PAGEREF _Toc3992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"_Toc6344" </w:instrText>
      </w:r>
      <w:r>
        <w:fldChar w:fldCharType="separate"/>
      </w:r>
      <w:r>
        <w:rPr>
          <w:rFonts w:hint="eastAsia"/>
          <w:sz w:val="24"/>
        </w:rPr>
        <w:t>六、一般公共预算财政拨款支出决算表</w:t>
      </w:r>
      <w:r>
        <w:rPr>
          <w:rFonts w:hint="eastAsia"/>
          <w:sz w:val="24"/>
        </w:rPr>
        <w:tab/>
      </w:r>
      <w:r>
        <w:rPr>
          <w:rFonts w:hint="eastAsia"/>
          <w:sz w:val="24"/>
        </w:rPr>
        <w:fldChar w:fldCharType="begin"/>
      </w:r>
      <w:r>
        <w:rPr>
          <w:rFonts w:hint="eastAsia"/>
          <w:sz w:val="24"/>
        </w:rPr>
        <w:instrText xml:space="preserve"> PAGEREF _Toc6344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"_Toc9759" </w:instrText>
      </w:r>
      <w:r>
        <w:fldChar w:fldCharType="separate"/>
      </w:r>
      <w:r>
        <w:rPr>
          <w:rFonts w:hint="eastAsia"/>
          <w:sz w:val="24"/>
        </w:rPr>
        <w:t>七、一般公共预算财政拨款支出决算明细表</w:t>
      </w:r>
      <w:r>
        <w:rPr>
          <w:rFonts w:hint="eastAsia"/>
          <w:sz w:val="24"/>
        </w:rPr>
        <w:tab/>
      </w:r>
      <w:r>
        <w:rPr>
          <w:rFonts w:hint="eastAsia"/>
          <w:sz w:val="24"/>
        </w:rPr>
        <w:fldChar w:fldCharType="begin"/>
      </w:r>
      <w:r>
        <w:rPr>
          <w:rFonts w:hint="eastAsia"/>
          <w:sz w:val="24"/>
        </w:rPr>
        <w:instrText xml:space="preserve"> PAGEREF _Toc9759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"_Toc19733" </w:instrText>
      </w:r>
      <w:r>
        <w:fldChar w:fldCharType="separate"/>
      </w:r>
      <w:r>
        <w:rPr>
          <w:rFonts w:hint="eastAsia"/>
          <w:sz w:val="24"/>
        </w:rPr>
        <w:t>八、一般公共预算财政拨款基本支出决算表</w:t>
      </w:r>
      <w:r>
        <w:rPr>
          <w:rFonts w:hint="eastAsia"/>
          <w:sz w:val="24"/>
        </w:rPr>
        <w:tab/>
      </w:r>
      <w:r>
        <w:rPr>
          <w:rFonts w:hint="eastAsia"/>
          <w:sz w:val="24"/>
        </w:rPr>
        <w:fldChar w:fldCharType="begin"/>
      </w:r>
      <w:r>
        <w:rPr>
          <w:rFonts w:hint="eastAsia"/>
          <w:sz w:val="24"/>
        </w:rPr>
        <w:instrText xml:space="preserve"> PAGEREF _Toc19733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"_Toc20014" </w:instrText>
      </w:r>
      <w:r>
        <w:fldChar w:fldCharType="separate"/>
      </w:r>
      <w:r>
        <w:rPr>
          <w:rFonts w:hint="eastAsia"/>
          <w:sz w:val="24"/>
        </w:rPr>
        <w:t>九、一般公共预算财政拨款项目支出决算表</w:t>
      </w:r>
      <w:r>
        <w:rPr>
          <w:rFonts w:hint="eastAsia"/>
          <w:sz w:val="24"/>
        </w:rPr>
        <w:tab/>
      </w:r>
      <w:r>
        <w:rPr>
          <w:rFonts w:hint="eastAsia"/>
          <w:sz w:val="24"/>
        </w:rPr>
        <w:fldChar w:fldCharType="begin"/>
      </w:r>
      <w:r>
        <w:rPr>
          <w:rFonts w:hint="eastAsia"/>
          <w:sz w:val="24"/>
        </w:rPr>
        <w:instrText xml:space="preserve"> PAGEREF _Toc20014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"_Toc31" </w:instrText>
      </w:r>
      <w:r>
        <w:fldChar w:fldCharType="separate"/>
      </w:r>
      <w:r>
        <w:rPr>
          <w:rFonts w:hint="eastAsia"/>
          <w:sz w:val="24"/>
        </w:rPr>
        <w:t>十、一般公共预算财政拨款“三公”经费支出决算表</w:t>
      </w:r>
      <w:r>
        <w:rPr>
          <w:rFonts w:hint="eastAsia"/>
          <w:sz w:val="24"/>
        </w:rPr>
        <w:tab/>
      </w:r>
      <w:r>
        <w:rPr>
          <w:rFonts w:hint="eastAsia"/>
          <w:sz w:val="24"/>
        </w:rPr>
        <w:fldChar w:fldCharType="begin"/>
      </w:r>
      <w:r>
        <w:rPr>
          <w:rFonts w:hint="eastAsia"/>
          <w:sz w:val="24"/>
        </w:rPr>
        <w:instrText xml:space="preserve"> PAGEREF _Toc31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"_Toc17673" </w:instrText>
      </w:r>
      <w:r>
        <w:fldChar w:fldCharType="separate"/>
      </w:r>
      <w:r>
        <w:rPr>
          <w:rFonts w:hint="eastAsia"/>
          <w:sz w:val="24"/>
        </w:rPr>
        <w:t>十一、政府性基金预算财政拨款收入支出决算表</w:t>
      </w:r>
      <w:r>
        <w:rPr>
          <w:rFonts w:hint="eastAsia"/>
          <w:sz w:val="24"/>
        </w:rPr>
        <w:tab/>
      </w:r>
      <w:r>
        <w:rPr>
          <w:rFonts w:hint="eastAsia"/>
          <w:sz w:val="24"/>
        </w:rPr>
        <w:fldChar w:fldCharType="begin"/>
      </w:r>
      <w:r>
        <w:rPr>
          <w:rFonts w:hint="eastAsia"/>
          <w:sz w:val="24"/>
        </w:rPr>
        <w:instrText xml:space="preserve"> PAGEREF _Toc17673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rPr>
          <w:sz w:val="24"/>
        </w:rPr>
      </w:pPr>
      <w:r>
        <w:fldChar w:fldCharType="begin"/>
      </w:r>
      <w:r>
        <w:instrText xml:space="preserve"> HYPERLINK \l "_Toc14022" </w:instrText>
      </w:r>
      <w:r>
        <w:fldChar w:fldCharType="separate"/>
      </w:r>
      <w:r>
        <w:rPr>
          <w:rFonts w:hint="eastAsia"/>
          <w:sz w:val="24"/>
        </w:rPr>
        <w:t>十二、政府性基金预算财政拨款“三公”经费支出决算表</w:t>
      </w:r>
      <w:r>
        <w:rPr>
          <w:rFonts w:hint="eastAsia"/>
          <w:sz w:val="24"/>
        </w:rPr>
        <w:tab/>
      </w:r>
      <w:r>
        <w:rPr>
          <w:rFonts w:hint="eastAsia"/>
          <w:sz w:val="24"/>
        </w:rPr>
        <w:fldChar w:fldCharType="begin"/>
      </w:r>
      <w:r>
        <w:rPr>
          <w:rFonts w:hint="eastAsia"/>
          <w:sz w:val="24"/>
        </w:rPr>
        <w:instrText xml:space="preserve"> PAGEREF _Toc14022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pStyle w:val="9"/>
        <w:adjustRightInd w:val="0"/>
        <w:snapToGrid w:val="0"/>
        <w:spacing w:line="440" w:lineRule="exact"/>
        <w:jc w:val="left"/>
      </w:pPr>
      <w:r>
        <w:fldChar w:fldCharType="begin"/>
      </w:r>
      <w:r>
        <w:instrText xml:space="preserve"> HYPERLINK \l "_Toc28176" </w:instrText>
      </w:r>
      <w:r>
        <w:fldChar w:fldCharType="separate"/>
      </w:r>
      <w:r>
        <w:rPr>
          <w:rFonts w:hint="eastAsia"/>
          <w:sz w:val="24"/>
        </w:rPr>
        <w:t>十三、国有资本经营预算财政拨款收入支出决算表</w:t>
      </w:r>
      <w:r>
        <w:rPr>
          <w:rFonts w:hint="eastAsia"/>
          <w:sz w:val="24"/>
        </w:rPr>
        <w:tab/>
      </w:r>
      <w:r>
        <w:rPr>
          <w:rFonts w:hint="eastAsia"/>
          <w:sz w:val="24"/>
        </w:rPr>
        <w:fldChar w:fldCharType="begin"/>
      </w:r>
      <w:r>
        <w:rPr>
          <w:rFonts w:hint="eastAsia"/>
          <w:sz w:val="24"/>
        </w:rPr>
        <w:instrText xml:space="preserve"> PAGEREF _Toc28176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widowControl/>
        <w:ind w:firstLine="420" w:firstLineChars="150"/>
        <w:jc w:val="left"/>
        <w:rPr>
          <w:rFonts w:ascii="宋体" w:hAnsi="宋体" w:cs="宋体"/>
          <w:color w:val="000000"/>
          <w:sz w:val="24"/>
        </w:rPr>
      </w:pPr>
      <w:r>
        <w:rPr>
          <w:rFonts w:hint="eastAsia" w:ascii="宋体" w:hAnsi="宋体" w:cs="宋体"/>
          <w:color w:val="000000"/>
          <w:sz w:val="28"/>
          <w:szCs w:val="28"/>
        </w:rPr>
        <w:fldChar w:fldCharType="end"/>
      </w:r>
      <w:r>
        <w:fldChar w:fldCharType="begin"/>
      </w:r>
      <w:r>
        <w:instrText xml:space="preserve"> HYPERLINK \l "_Toc28176" </w:instrText>
      </w:r>
      <w:r>
        <w:fldChar w:fldCharType="separate"/>
      </w:r>
      <w:r>
        <w:rPr>
          <w:rFonts w:hint="eastAsia"/>
          <w:sz w:val="24"/>
        </w:rPr>
        <w:t>十四、国有资本经营预算财政拨款支出决算表</w:t>
      </w:r>
      <w:r>
        <w:rPr>
          <w:rFonts w:hint="eastAsia"/>
          <w:sz w:val="24"/>
        </w:rPr>
        <w:tab/>
      </w:r>
      <w:r>
        <w:rPr>
          <w:rFonts w:hint="eastAsia"/>
          <w:sz w:val="24"/>
        </w:rPr>
        <w:t xml:space="preserve">                     </w:t>
      </w:r>
      <w:r>
        <w:rPr>
          <w:rFonts w:hint="eastAsia"/>
          <w:sz w:val="24"/>
        </w:rPr>
        <w:fldChar w:fldCharType="begin"/>
      </w:r>
      <w:r>
        <w:rPr>
          <w:rFonts w:hint="eastAsia"/>
          <w:sz w:val="24"/>
        </w:rPr>
        <w:instrText xml:space="preserve"> PAGEREF _Toc28176 </w:instrText>
      </w:r>
      <w:r>
        <w:rPr>
          <w:rFonts w:hint="eastAsia"/>
          <w:sz w:val="24"/>
        </w:rPr>
        <w:fldChar w:fldCharType="separate"/>
      </w:r>
      <w:r>
        <w:rPr>
          <w:sz w:val="24"/>
        </w:rPr>
        <w:t>12</w:t>
      </w:r>
      <w:r>
        <w:rPr>
          <w:rFonts w:hint="eastAsia"/>
          <w:sz w:val="24"/>
        </w:rPr>
        <w:fldChar w:fldCharType="end"/>
      </w:r>
      <w:r>
        <w:rPr>
          <w:rFonts w:hint="eastAsia"/>
          <w:sz w:val="24"/>
        </w:rPr>
        <w:fldChar w:fldCharType="end"/>
      </w:r>
    </w:p>
    <w:p>
      <w:pPr>
        <w:jc w:val="center"/>
        <w:rPr>
          <w:rFonts w:ascii="黑体" w:hAnsi="黑体" w:eastAsia="黑体"/>
          <w:color w:val="000000"/>
          <w:sz w:val="48"/>
          <w:szCs w:val="48"/>
        </w:rPr>
      </w:pPr>
      <w:r>
        <w:rPr>
          <w:rFonts w:ascii="黑体" w:hAnsi="黑体" w:eastAsia="黑体"/>
          <w:b/>
        </w:rPr>
        <w:br w:type="page"/>
      </w:r>
      <w:r>
        <w:rPr>
          <w:rFonts w:hint="eastAsia" w:ascii="黑体" w:hAnsi="黑体" w:eastAsia="黑体"/>
          <w:color w:val="000000"/>
          <w:sz w:val="48"/>
          <w:szCs w:val="48"/>
        </w:rPr>
        <w:t>第一部分  部门概况</w:t>
      </w:r>
    </w:p>
    <w:p>
      <w:pPr>
        <w:widowControl/>
        <w:rPr>
          <w:rFonts w:ascii="宋体" w:hAnsi="宋体" w:cs="宋体"/>
          <w:b/>
          <w:sz w:val="44"/>
          <w:szCs w:val="44"/>
        </w:rPr>
      </w:pPr>
    </w:p>
    <w:p>
      <w:pPr>
        <w:pStyle w:val="4"/>
        <w:rPr>
          <w:rFonts w:ascii="宋体" w:hAnsi="宋体" w:cs="宋体"/>
          <w:color w:val="000000"/>
          <w:kern w:val="0"/>
        </w:rPr>
      </w:pPr>
      <w:r>
        <w:rPr>
          <w:rFonts w:hint="eastAsia" w:ascii="宋体" w:hAnsi="宋体" w:cs="宋体"/>
          <w:color w:val="333333"/>
          <w:kern w:val="0"/>
          <w:szCs w:val="21"/>
        </w:rPr>
        <w:t>　</w:t>
      </w:r>
      <w:r>
        <w:rPr>
          <w:rFonts w:hint="eastAsia" w:ascii="宋体" w:hAnsi="宋体" w:cs="宋体"/>
          <w:color w:val="333333"/>
          <w:kern w:val="0"/>
        </w:rPr>
        <w:t>　</w:t>
      </w:r>
      <w:bookmarkStart w:id="6" w:name="_Toc16316"/>
      <w:r>
        <w:rPr>
          <w:rFonts w:hint="eastAsia" w:ascii="方正黑体_GBK" w:hAnsi="方正黑体_GBK" w:eastAsia="方正黑体_GBK" w:cs="方正黑体_GBK"/>
          <w:b w:val="0"/>
          <w:bCs w:val="0"/>
          <w:sz w:val="33"/>
          <w:szCs w:val="33"/>
        </w:rPr>
        <w:t>一、基本职能及主要工作</w:t>
      </w:r>
      <w:bookmarkEnd w:id="6"/>
    </w:p>
    <w:p>
      <w:pPr>
        <w:spacing w:line="590" w:lineRule="exact"/>
        <w:ind w:firstLine="660" w:firstLineChars="200"/>
        <w:rPr>
          <w:rFonts w:eastAsia="方正仿宋_GBK"/>
          <w:sz w:val="33"/>
          <w:szCs w:val="33"/>
        </w:rPr>
      </w:pPr>
      <w:r>
        <w:rPr>
          <w:rFonts w:hint="eastAsia" w:eastAsia="方正仿宋_GBK"/>
          <w:sz w:val="33"/>
          <w:szCs w:val="33"/>
        </w:rPr>
        <w:t>政府基本职能：</w:t>
      </w:r>
    </w:p>
    <w:p>
      <w:pPr>
        <w:spacing w:line="590" w:lineRule="exact"/>
        <w:ind w:firstLine="640" w:firstLineChars="200"/>
        <w:rPr>
          <w:rFonts w:eastAsia="方正仿宋_GBK"/>
          <w:sz w:val="33"/>
          <w:szCs w:val="33"/>
        </w:rPr>
      </w:pPr>
      <w:r>
        <w:rPr>
          <w:rFonts w:eastAsia="仿宋_GB2312"/>
          <w:color w:val="000000"/>
          <w:sz w:val="32"/>
          <w:szCs w:val="32"/>
        </w:rPr>
        <w:t>1、</w:t>
      </w:r>
      <w:r>
        <w:rPr>
          <w:rFonts w:hint="eastAsia" w:eastAsia="方正仿宋_GBK"/>
          <w:sz w:val="33"/>
          <w:szCs w:val="33"/>
        </w:rPr>
        <w:t>执行国家行政机关的决定、命令和国家制定的法令、法规，执行本级人民代表大会的各项决议，并报告执行决议、决定和命令的情况。</w:t>
      </w:r>
    </w:p>
    <w:p>
      <w:pPr>
        <w:spacing w:line="590" w:lineRule="exact"/>
        <w:ind w:firstLine="640" w:firstLineChars="200"/>
        <w:rPr>
          <w:rFonts w:eastAsia="方正仿宋_GBK"/>
          <w:sz w:val="33"/>
          <w:szCs w:val="33"/>
        </w:rPr>
      </w:pPr>
      <w:r>
        <w:rPr>
          <w:rFonts w:hint="eastAsia" w:eastAsia="仿宋_GB2312"/>
          <w:color w:val="000000"/>
          <w:sz w:val="32"/>
          <w:szCs w:val="32"/>
        </w:rPr>
        <w:t>2</w:t>
      </w:r>
      <w:r>
        <w:rPr>
          <w:rFonts w:eastAsia="仿宋_GB2312"/>
          <w:color w:val="000000"/>
          <w:sz w:val="32"/>
          <w:szCs w:val="32"/>
        </w:rPr>
        <w:t>、</w:t>
      </w:r>
      <w:r>
        <w:rPr>
          <w:rFonts w:hint="eastAsia" w:eastAsia="方正仿宋_GBK"/>
          <w:sz w:val="33"/>
          <w:szCs w:val="33"/>
        </w:rPr>
        <w:t>制定并落实本行政区域的经济计划和措施，全面提高人民群众的生活水平和生活质量。</w:t>
      </w:r>
    </w:p>
    <w:p>
      <w:pPr>
        <w:spacing w:line="590" w:lineRule="exact"/>
        <w:ind w:firstLine="660" w:firstLineChars="200"/>
        <w:rPr>
          <w:rFonts w:eastAsia="方正仿宋_GBK"/>
          <w:sz w:val="33"/>
          <w:szCs w:val="33"/>
        </w:rPr>
      </w:pPr>
      <w:r>
        <w:rPr>
          <w:rFonts w:hint="eastAsia" w:eastAsia="方正仿宋_GBK"/>
          <w:sz w:val="33"/>
          <w:szCs w:val="33"/>
        </w:rPr>
        <w:t>3、承担国有资产、集体资产管理、监督及增值保值责任。</w:t>
      </w:r>
    </w:p>
    <w:p>
      <w:pPr>
        <w:spacing w:line="590" w:lineRule="exact"/>
        <w:ind w:firstLine="660" w:firstLineChars="200"/>
        <w:rPr>
          <w:rFonts w:eastAsia="方正仿宋_GBK"/>
          <w:sz w:val="33"/>
          <w:szCs w:val="33"/>
        </w:rPr>
      </w:pPr>
      <w:r>
        <w:rPr>
          <w:rFonts w:hint="eastAsia" w:eastAsia="方正仿宋_GBK"/>
          <w:sz w:val="33"/>
          <w:szCs w:val="33"/>
        </w:rPr>
        <w:t>4、开展社会主义民主和法制的宣传教育，保障公民的权利，打击违法犯罪，维护社会稳定。</w:t>
      </w:r>
    </w:p>
    <w:p>
      <w:pPr>
        <w:spacing w:line="590" w:lineRule="exact"/>
        <w:ind w:firstLine="660" w:firstLineChars="200"/>
        <w:rPr>
          <w:rFonts w:eastAsia="方正仿宋_GBK"/>
          <w:sz w:val="33"/>
          <w:szCs w:val="33"/>
        </w:rPr>
      </w:pPr>
      <w:r>
        <w:rPr>
          <w:rFonts w:hint="eastAsia" w:eastAsia="方正仿宋_GBK"/>
          <w:sz w:val="33"/>
          <w:szCs w:val="33"/>
        </w:rPr>
        <w:t>5、制定社会各项事业发展计划，发展教育、卫生、科技、民政、广播电视、文化、体育事业；加强计划生育工作；推进社会保障、社会福利事业和养老保险等工作。</w:t>
      </w:r>
    </w:p>
    <w:p>
      <w:pPr>
        <w:spacing w:line="590" w:lineRule="exact"/>
        <w:ind w:firstLine="660" w:firstLineChars="200"/>
        <w:rPr>
          <w:rFonts w:eastAsia="方正仿宋_GBK"/>
          <w:sz w:val="33"/>
          <w:szCs w:val="33"/>
        </w:rPr>
      </w:pPr>
      <w:r>
        <w:rPr>
          <w:rFonts w:hint="eastAsia" w:eastAsia="方正仿宋_GBK"/>
          <w:sz w:val="33"/>
          <w:szCs w:val="33"/>
        </w:rPr>
        <w:t>6、加强镇级财政的监督和管理。</w:t>
      </w:r>
    </w:p>
    <w:p>
      <w:pPr>
        <w:spacing w:line="590" w:lineRule="exact"/>
        <w:ind w:firstLine="660" w:firstLineChars="200"/>
        <w:rPr>
          <w:rFonts w:eastAsia="方正仿宋_GBK"/>
          <w:sz w:val="33"/>
          <w:szCs w:val="33"/>
        </w:rPr>
      </w:pPr>
      <w:r>
        <w:rPr>
          <w:rFonts w:hint="eastAsia" w:eastAsia="方正仿宋_GBK"/>
          <w:sz w:val="33"/>
          <w:szCs w:val="33"/>
        </w:rPr>
        <w:t>7、指导村（居）民委员会的组织制度建设和业务建设，促进村（居）民委员会民主自治。</w:t>
      </w:r>
    </w:p>
    <w:p>
      <w:pPr>
        <w:spacing w:line="590" w:lineRule="exact"/>
        <w:ind w:firstLine="660" w:firstLineChars="200"/>
        <w:rPr>
          <w:rFonts w:eastAsia="方正仿宋_GBK"/>
          <w:sz w:val="33"/>
          <w:szCs w:val="33"/>
        </w:rPr>
      </w:pPr>
      <w:r>
        <w:rPr>
          <w:rFonts w:hint="eastAsia" w:eastAsia="方正仿宋_GBK"/>
          <w:sz w:val="33"/>
          <w:szCs w:val="33"/>
        </w:rPr>
        <w:t>8、制定和组织实施乡村建设规划，保护和改善生活环境和生态环境。</w:t>
      </w:r>
    </w:p>
    <w:p>
      <w:pPr>
        <w:spacing w:line="590" w:lineRule="exact"/>
        <w:ind w:firstLine="660" w:firstLineChars="200"/>
        <w:rPr>
          <w:rFonts w:eastAsia="方正仿宋_GBK"/>
          <w:sz w:val="33"/>
          <w:szCs w:val="33"/>
        </w:rPr>
      </w:pPr>
      <w:r>
        <w:rPr>
          <w:rFonts w:hint="eastAsia" w:eastAsia="方正仿宋_GBK"/>
          <w:sz w:val="33"/>
          <w:szCs w:val="33"/>
        </w:rPr>
        <w:t>9、协助和支持设置在本行政区域内不隶属于镇的国家机关和企事业单位工作，监督其遵守和执行国家的法律、法规和政策。</w:t>
      </w:r>
    </w:p>
    <w:p>
      <w:pPr>
        <w:spacing w:line="590" w:lineRule="exact"/>
        <w:ind w:firstLine="660" w:firstLineChars="200"/>
        <w:rPr>
          <w:rFonts w:eastAsia="方正仿宋_GBK"/>
          <w:sz w:val="33"/>
          <w:szCs w:val="33"/>
        </w:rPr>
      </w:pPr>
      <w:r>
        <w:rPr>
          <w:rFonts w:hint="eastAsia" w:eastAsia="方正仿宋_GBK"/>
          <w:sz w:val="33"/>
          <w:szCs w:val="33"/>
        </w:rPr>
        <w:t>10、承办本级党委、人大和上级交办的其它事项。</w:t>
      </w:r>
    </w:p>
    <w:p>
      <w:pPr>
        <w:spacing w:line="600" w:lineRule="exact"/>
        <w:ind w:firstLine="640" w:firstLineChars="200"/>
        <w:rPr>
          <w:rFonts w:ascii="黑体" w:hAnsi="黑体" w:eastAsia="黑体" w:cs="黑体"/>
          <w:color w:val="000000"/>
          <w:sz w:val="32"/>
          <w:szCs w:val="32"/>
        </w:rPr>
      </w:pPr>
      <w:bookmarkStart w:id="7" w:name="_Toc9202"/>
      <w:r>
        <w:rPr>
          <w:rFonts w:hint="eastAsia" w:ascii="黑体" w:hAnsi="黑体" w:eastAsia="黑体" w:cs="黑体"/>
          <w:color w:val="000000"/>
          <w:sz w:val="32"/>
          <w:szCs w:val="32"/>
        </w:rPr>
        <w:t>二、机构设置</w:t>
      </w:r>
      <w:bookmarkEnd w:id="7"/>
    </w:p>
    <w:p>
      <w:pPr>
        <w:spacing w:line="590" w:lineRule="exact"/>
        <w:ind w:firstLine="660" w:firstLineChars="200"/>
        <w:rPr>
          <w:rFonts w:eastAsia="方正仿宋_GBK"/>
          <w:sz w:val="33"/>
          <w:szCs w:val="33"/>
        </w:rPr>
      </w:pPr>
      <w:r>
        <w:rPr>
          <w:rFonts w:hint="eastAsia" w:eastAsia="方正仿宋_GBK"/>
          <w:sz w:val="33"/>
          <w:szCs w:val="33"/>
        </w:rPr>
        <w:t>本年同上年相比，行政单位1个，与上年相同;事业单位4个，与上年相比增加3个，原因是乡镇区划调整。镇裕镇下设党政办、党建办、财政所、综合行政执法办、社会治理办、应急管理办、社会事务办，镇直属事业单位为便民服务中心、综治中心、农民工服务中心、村建环卫服务中心。</w:t>
      </w:r>
    </w:p>
    <w:p>
      <w:pPr>
        <w:spacing w:line="590" w:lineRule="exact"/>
        <w:ind w:firstLine="660" w:firstLineChars="200"/>
        <w:rPr>
          <w:rFonts w:eastAsia="方正仿宋_GBK"/>
          <w:sz w:val="33"/>
          <w:szCs w:val="33"/>
        </w:rPr>
      </w:pPr>
      <w:r>
        <w:rPr>
          <w:rFonts w:hint="eastAsia" w:eastAsia="方正仿宋_GBK"/>
          <w:sz w:val="33"/>
          <w:szCs w:val="33"/>
        </w:rPr>
        <w:t>镇裕镇2021年年末在职人数51人，退休24人，2021年末在职人数与2020年相同，2021年退休人数与2020年相比，增加2人。</w:t>
      </w:r>
    </w:p>
    <w:p>
      <w:pPr>
        <w:spacing w:line="597" w:lineRule="exact"/>
        <w:ind w:firstLine="560"/>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Pr>
        <w:rPr>
          <w:rFonts w:ascii="宋体" w:hAnsi="宋体" w:cs="宋体"/>
          <w:color w:val="000000"/>
          <w:kern w:val="0"/>
          <w:sz w:val="24"/>
        </w:rPr>
      </w:pPr>
    </w:p>
    <w:p>
      <w:pPr>
        <w:pStyle w:val="6"/>
        <w:rPr>
          <w:rFonts w:ascii="宋体" w:hAnsi="宋体" w:cs="宋体"/>
          <w:color w:val="000000"/>
          <w:kern w:val="0"/>
          <w:sz w:val="24"/>
        </w:rPr>
      </w:pPr>
    </w:p>
    <w:p/>
    <w:p>
      <w:pPr>
        <w:pStyle w:val="3"/>
        <w:numPr>
          <w:ilvl w:val="0"/>
          <w:numId w:val="1"/>
        </w:numPr>
        <w:jc w:val="center"/>
      </w:pPr>
      <w:bookmarkStart w:id="8" w:name="_Toc23276"/>
      <w:r>
        <w:rPr>
          <w:rFonts w:hint="eastAsia"/>
        </w:rPr>
        <w:t>2021年度部门决算情况说明</w:t>
      </w:r>
      <w:bookmarkEnd w:id="8"/>
    </w:p>
    <w:p>
      <w:pPr>
        <w:widowControl/>
        <w:shd w:val="clear" w:color="auto" w:fill="FEFEFE"/>
        <w:tabs>
          <w:tab w:val="left" w:pos="561"/>
        </w:tabs>
        <w:spacing w:line="440" w:lineRule="atLeast"/>
        <w:jc w:val="left"/>
        <w:rPr>
          <w:rFonts w:ascii="宋体" w:hAnsi="宋体" w:cs="宋体"/>
          <w:bCs/>
          <w:color w:val="333333"/>
          <w:kern w:val="0"/>
          <w:sz w:val="32"/>
          <w:szCs w:val="32"/>
        </w:rPr>
      </w:pPr>
    </w:p>
    <w:p>
      <w:pPr>
        <w:spacing w:line="600" w:lineRule="exact"/>
        <w:ind w:firstLine="640" w:firstLineChars="200"/>
        <w:rPr>
          <w:rFonts w:ascii="黑体" w:hAnsi="黑体" w:eastAsia="黑体" w:cs="黑体"/>
          <w:color w:val="000000"/>
          <w:sz w:val="32"/>
          <w:szCs w:val="32"/>
        </w:rPr>
      </w:pPr>
      <w:bookmarkStart w:id="9" w:name="_Toc28830"/>
      <w:r>
        <w:rPr>
          <w:rFonts w:hint="eastAsia" w:ascii="黑体" w:hAnsi="黑体" w:eastAsia="黑体" w:cs="黑体"/>
          <w:color w:val="000000"/>
          <w:sz w:val="32"/>
          <w:szCs w:val="32"/>
        </w:rPr>
        <w:t>一、 收入支出决算总体情况说明</w:t>
      </w:r>
      <w:bookmarkEnd w:id="9"/>
    </w:p>
    <w:p>
      <w:pPr>
        <w:spacing w:line="590" w:lineRule="exact"/>
        <w:ind w:firstLine="660" w:firstLineChars="200"/>
        <w:rPr>
          <w:rFonts w:eastAsia="方正仿宋_GBK"/>
          <w:sz w:val="33"/>
          <w:szCs w:val="33"/>
        </w:rPr>
      </w:pPr>
      <w:r>
        <w:rPr>
          <w:rFonts w:hint="eastAsia" w:eastAsia="方正仿宋_GBK"/>
          <w:sz w:val="33"/>
          <w:szCs w:val="33"/>
        </w:rPr>
        <w:t>2021年度镇裕镇本年收支合计1645.26万元。与2020年相比，收、支总计各增加162.6万元，增长11%。主要是人员增加。</w:t>
      </w:r>
    </w:p>
    <w:p>
      <w:pPr>
        <w:widowControl/>
        <w:shd w:val="clear" w:color="auto" w:fill="FEFEFE"/>
        <w:spacing w:line="440" w:lineRule="atLeast"/>
        <w:jc w:val="left"/>
        <w:rPr>
          <w:rFonts w:ascii="宋体" w:hAnsi="宋体" w:cs="宋体"/>
          <w:color w:val="333333"/>
          <w:kern w:val="0"/>
          <w:sz w:val="28"/>
          <w:szCs w:val="28"/>
        </w:rPr>
      </w:pPr>
      <w:r>
        <w:rPr>
          <w:rFonts w:hint="eastAsia"/>
        </w:rPr>
        <w:t xml:space="preserve">        </w:t>
      </w:r>
      <w:r>
        <w:drawing>
          <wp:inline distT="0" distB="0" distL="114300" distR="114300">
            <wp:extent cx="4572000" cy="2743200"/>
            <wp:effectExtent l="4445" t="4445" r="14605" b="14605"/>
            <wp:docPr id="114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hd w:val="clear" w:color="auto" w:fill="FEFEFE"/>
        <w:spacing w:line="440" w:lineRule="atLeast"/>
        <w:jc w:val="left"/>
        <w:rPr>
          <w:rFonts w:ascii="宋体" w:hAnsi="宋体" w:cs="宋体"/>
          <w:color w:val="333333"/>
          <w:kern w:val="0"/>
          <w:sz w:val="32"/>
          <w:szCs w:val="32"/>
        </w:rPr>
      </w:pPr>
    </w:p>
    <w:p>
      <w:pPr>
        <w:spacing w:line="600" w:lineRule="exact"/>
        <w:ind w:firstLine="640" w:firstLineChars="200"/>
        <w:rPr>
          <w:rFonts w:ascii="黑体" w:hAnsi="黑体" w:eastAsia="黑体" w:cs="黑体"/>
          <w:color w:val="000000"/>
          <w:sz w:val="32"/>
          <w:szCs w:val="32"/>
        </w:rPr>
      </w:pPr>
      <w:bookmarkStart w:id="10" w:name="_Toc3927"/>
      <w:r>
        <w:rPr>
          <w:rFonts w:hint="eastAsia" w:ascii="黑体" w:hAnsi="黑体" w:eastAsia="黑体" w:cs="黑体"/>
          <w:color w:val="000000"/>
          <w:sz w:val="32"/>
          <w:szCs w:val="32"/>
        </w:rPr>
        <w:t>二、收入决算情况说明</w:t>
      </w:r>
      <w:bookmarkEnd w:id="10"/>
    </w:p>
    <w:p>
      <w:pPr>
        <w:spacing w:line="590" w:lineRule="exact"/>
        <w:ind w:firstLine="660" w:firstLineChars="200"/>
        <w:rPr>
          <w:rFonts w:eastAsia="方正仿宋_GBK"/>
          <w:sz w:val="33"/>
          <w:szCs w:val="33"/>
        </w:rPr>
      </w:pPr>
      <w:bookmarkStart w:id="11" w:name="_Toc3194"/>
      <w:bookmarkStart w:id="12" w:name="_Toc9391"/>
      <w:bookmarkStart w:id="13" w:name="_Toc2681"/>
      <w:bookmarkStart w:id="14" w:name="_Toc4248"/>
      <w:r>
        <w:rPr>
          <w:rFonts w:hint="eastAsia" w:eastAsia="方正仿宋_GBK"/>
          <w:sz w:val="33"/>
          <w:szCs w:val="33"/>
        </w:rPr>
        <w:t>2021年镇裕镇本年收入合计1645.26万元，其中：一般公共财政拨款收入1439.08万元，占87.47%；政府性基金预算财政拨款收入206.19万元，占12.53%；国有资本经营预算财政拨款收入0万元，占0%；事业收入0万元，占0%；经营收入0万元，占0%；附属单位上缴收入0万元，占0%；其他收入0万元，占0%。</w:t>
      </w:r>
      <w:bookmarkEnd w:id="11"/>
      <w:bookmarkEnd w:id="12"/>
      <w:bookmarkEnd w:id="13"/>
      <w:bookmarkEnd w:id="14"/>
    </w:p>
    <w:p>
      <w:pPr>
        <w:widowControl/>
        <w:shd w:val="clear" w:color="auto" w:fill="FEFEFE"/>
        <w:spacing w:line="440" w:lineRule="atLeast"/>
        <w:ind w:firstLine="420" w:firstLineChars="200"/>
        <w:jc w:val="left"/>
      </w:pPr>
    </w:p>
    <w:p>
      <w:pPr>
        <w:widowControl/>
        <w:shd w:val="clear" w:color="auto" w:fill="FEFEFE"/>
        <w:spacing w:line="440" w:lineRule="atLeast"/>
        <w:ind w:firstLine="420" w:firstLineChars="200"/>
        <w:jc w:val="left"/>
      </w:pPr>
      <w:r>
        <w:drawing>
          <wp:inline distT="0" distB="0" distL="114300" distR="114300">
            <wp:extent cx="4838700" cy="2618740"/>
            <wp:effectExtent l="4445" t="4445" r="8255" b="5715"/>
            <wp:docPr id="108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hd w:val="clear" w:color="auto" w:fill="FEFEFE"/>
        <w:spacing w:line="440" w:lineRule="atLeast"/>
        <w:jc w:val="left"/>
        <w:rPr>
          <w:rFonts w:ascii="宋体" w:hAnsi="宋体" w:cs="宋体"/>
          <w:color w:val="333333"/>
          <w:kern w:val="0"/>
          <w:sz w:val="32"/>
          <w:szCs w:val="32"/>
        </w:rPr>
      </w:pPr>
    </w:p>
    <w:p>
      <w:pPr>
        <w:spacing w:line="600" w:lineRule="exact"/>
        <w:ind w:firstLine="640" w:firstLineChars="200"/>
        <w:rPr>
          <w:rFonts w:ascii="黑体" w:hAnsi="黑体" w:eastAsia="黑体" w:cs="黑体"/>
          <w:color w:val="000000"/>
          <w:sz w:val="32"/>
          <w:szCs w:val="32"/>
        </w:rPr>
      </w:pPr>
      <w:bookmarkStart w:id="15" w:name="_Toc7506"/>
      <w:r>
        <w:rPr>
          <w:rFonts w:hint="eastAsia" w:ascii="黑体" w:hAnsi="黑体" w:eastAsia="黑体" w:cs="黑体"/>
          <w:color w:val="000000"/>
          <w:sz w:val="32"/>
          <w:szCs w:val="32"/>
        </w:rPr>
        <w:t>三、支出决算情况说明</w:t>
      </w:r>
      <w:bookmarkEnd w:id="15"/>
      <w:r>
        <w:rPr>
          <w:rFonts w:hint="eastAsia" w:ascii="黑体" w:hAnsi="黑体" w:eastAsia="黑体" w:cs="黑体"/>
          <w:color w:val="000000"/>
          <w:sz w:val="32"/>
          <w:szCs w:val="32"/>
        </w:rPr>
        <w:t>　</w:t>
      </w:r>
    </w:p>
    <w:p>
      <w:pPr>
        <w:widowControl/>
        <w:shd w:val="clear" w:color="auto" w:fill="FEFEFE"/>
        <w:spacing w:line="440" w:lineRule="atLeast"/>
        <w:ind w:firstLine="480"/>
        <w:jc w:val="left"/>
        <w:rPr>
          <w:rFonts w:eastAsia="方正仿宋_GBK"/>
          <w:sz w:val="33"/>
          <w:szCs w:val="33"/>
        </w:rPr>
      </w:pPr>
      <w:r>
        <w:rPr>
          <w:rFonts w:hint="eastAsia" w:eastAsia="方正仿宋_GBK"/>
          <w:sz w:val="33"/>
          <w:szCs w:val="33"/>
        </w:rPr>
        <w:t>2021年镇裕镇年支出合计1645.26万元，其中：基本支出1439.08万元，占87.47%；项目支出206.19万元，占12.53%；上缴上级支出0万元，占0%；经营支出0万元，占0%；对附属单位补助支出0万元，占0%。</w:t>
      </w:r>
    </w:p>
    <w:p>
      <w:pPr>
        <w:widowControl/>
        <w:shd w:val="clear" w:color="auto" w:fill="FEFEFE"/>
        <w:spacing w:line="440" w:lineRule="atLeast"/>
        <w:ind w:firstLine="480"/>
        <w:jc w:val="left"/>
        <w:rPr>
          <w:rFonts w:ascii="宋体" w:hAnsi="宋体" w:cs="宋体"/>
          <w:color w:val="333333"/>
          <w:kern w:val="0"/>
          <w:sz w:val="28"/>
          <w:szCs w:val="28"/>
        </w:rPr>
      </w:pPr>
      <w:r>
        <w:drawing>
          <wp:inline distT="0" distB="0" distL="114300" distR="114300">
            <wp:extent cx="4838700" cy="2667000"/>
            <wp:effectExtent l="4445" t="4445" r="8255" b="8255"/>
            <wp:docPr id="114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rPr>
        <w:t xml:space="preserve"> </w:t>
      </w:r>
    </w:p>
    <w:p>
      <w:pPr>
        <w:spacing w:line="600" w:lineRule="exact"/>
        <w:rPr>
          <w:rFonts w:ascii="黑体" w:hAnsi="黑体" w:eastAsia="黑体" w:cs="黑体"/>
          <w:color w:val="000000"/>
          <w:sz w:val="32"/>
          <w:szCs w:val="32"/>
        </w:rPr>
      </w:pPr>
      <w:bookmarkStart w:id="16" w:name="_Toc8663"/>
      <w:r>
        <w:rPr>
          <w:rFonts w:hint="eastAsia" w:ascii="黑体" w:hAnsi="黑体" w:eastAsia="黑体" w:cs="黑体"/>
          <w:color w:val="000000"/>
          <w:sz w:val="32"/>
          <w:szCs w:val="32"/>
        </w:rPr>
        <w:t>四、财政拨款收支决算情况</w:t>
      </w:r>
    </w:p>
    <w:p>
      <w:pPr>
        <w:pStyle w:val="4"/>
        <w:rPr>
          <w:rFonts w:ascii="Times New Roman" w:hAnsi="Times New Roman" w:eastAsia="方正仿宋_GBK"/>
          <w:b w:val="0"/>
          <w:bCs w:val="0"/>
          <w:sz w:val="33"/>
          <w:szCs w:val="33"/>
        </w:rPr>
      </w:pPr>
      <w:r>
        <w:rPr>
          <w:rFonts w:hint="eastAsia" w:ascii="宋体" w:hAnsi="宋体" w:cs="宋体"/>
          <w:color w:val="333333"/>
          <w:kern w:val="0"/>
          <w:sz w:val="24"/>
        </w:rPr>
        <w:t>　</w:t>
      </w:r>
      <w:r>
        <w:rPr>
          <w:rFonts w:hint="eastAsia"/>
        </w:rPr>
        <w:t xml:space="preserve"> </w:t>
      </w:r>
      <w:r>
        <w:rPr>
          <w:rFonts w:hint="eastAsia" w:ascii="宋体" w:hAnsi="宋体" w:cs="宋体"/>
          <w:b w:val="0"/>
          <w:bCs w:val="0"/>
          <w:color w:val="333333"/>
          <w:kern w:val="0"/>
          <w:sz w:val="28"/>
          <w:szCs w:val="28"/>
        </w:rPr>
        <w:t xml:space="preserve"> </w:t>
      </w:r>
      <w:r>
        <w:rPr>
          <w:rFonts w:hint="eastAsia" w:ascii="宋体" w:hAnsi="宋体" w:cs="宋体"/>
          <w:sz w:val="28"/>
          <w:szCs w:val="28"/>
        </w:rPr>
        <w:t xml:space="preserve"> </w:t>
      </w:r>
      <w:r>
        <w:rPr>
          <w:rFonts w:hint="eastAsia" w:ascii="Times New Roman" w:hAnsi="Times New Roman" w:eastAsia="方正仿宋_GBK"/>
          <w:b w:val="0"/>
          <w:bCs w:val="0"/>
          <w:sz w:val="33"/>
          <w:szCs w:val="33"/>
        </w:rPr>
        <w:t>镇裕镇2021年度财政拨款收、支总计</w:t>
      </w:r>
      <w:r>
        <w:rPr>
          <w:rFonts w:hint="eastAsia" w:eastAsia="方正仿宋_GBK"/>
          <w:sz w:val="33"/>
          <w:szCs w:val="33"/>
        </w:rPr>
        <w:t>1645.26</w:t>
      </w:r>
      <w:r>
        <w:rPr>
          <w:rFonts w:hint="eastAsia" w:ascii="Times New Roman" w:hAnsi="Times New Roman" w:eastAsia="方正仿宋_GBK"/>
          <w:b w:val="0"/>
          <w:bCs w:val="0"/>
          <w:sz w:val="33"/>
          <w:szCs w:val="33"/>
        </w:rPr>
        <w:t>万元。与2020年相比，财政拨款收、支总计各增加162.6万元，增长11%，主要是人员经费增加。</w:t>
      </w:r>
      <w:bookmarkEnd w:id="16"/>
    </w:p>
    <w:p>
      <w:pPr>
        <w:widowControl/>
        <w:shd w:val="clear" w:color="auto" w:fill="FEFEFE"/>
        <w:spacing w:line="440" w:lineRule="atLeast"/>
        <w:ind w:left="480"/>
        <w:jc w:val="left"/>
        <w:rPr>
          <w:rFonts w:ascii="宋体" w:hAnsi="宋体" w:cs="宋体"/>
          <w:color w:val="333333"/>
          <w:kern w:val="0"/>
          <w:sz w:val="28"/>
          <w:szCs w:val="28"/>
        </w:rPr>
      </w:pPr>
      <w:r>
        <w:drawing>
          <wp:inline distT="0" distB="0" distL="114300" distR="114300">
            <wp:extent cx="4572000" cy="2743200"/>
            <wp:effectExtent l="4445" t="4445" r="14605" b="14605"/>
            <wp:docPr id="114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shd w:val="clear" w:color="auto" w:fill="FEFEFE"/>
        <w:spacing w:line="440" w:lineRule="atLeast"/>
        <w:jc w:val="left"/>
        <w:rPr>
          <w:rFonts w:ascii="宋体" w:hAnsi="宋体" w:cs="宋体"/>
          <w:bCs/>
          <w:color w:val="333333"/>
          <w:kern w:val="0"/>
          <w:sz w:val="32"/>
          <w:szCs w:val="32"/>
        </w:rPr>
      </w:pPr>
    </w:p>
    <w:p>
      <w:pPr>
        <w:spacing w:line="600" w:lineRule="exact"/>
        <w:ind w:firstLine="640" w:firstLineChars="200"/>
        <w:rPr>
          <w:rFonts w:ascii="黑体" w:hAnsi="黑体" w:eastAsia="黑体" w:cs="黑体"/>
          <w:color w:val="000000"/>
          <w:sz w:val="32"/>
          <w:szCs w:val="32"/>
        </w:rPr>
      </w:pPr>
      <w:bookmarkStart w:id="17" w:name="_Toc16303"/>
      <w:r>
        <w:rPr>
          <w:rFonts w:hint="eastAsia" w:ascii="黑体" w:hAnsi="黑体" w:eastAsia="黑体" w:cs="黑体"/>
          <w:color w:val="000000"/>
          <w:sz w:val="32"/>
          <w:szCs w:val="32"/>
        </w:rPr>
        <w:t>五、一般公共预算财政拨款支出决算情况说明</w:t>
      </w:r>
      <w:bookmarkEnd w:id="17"/>
    </w:p>
    <w:p>
      <w:pPr>
        <w:widowControl/>
        <w:shd w:val="clear" w:color="auto" w:fill="FEFEFE"/>
        <w:spacing w:line="440" w:lineRule="atLeast"/>
        <w:ind w:firstLine="560" w:firstLineChars="200"/>
        <w:jc w:val="left"/>
        <w:rPr>
          <w:rFonts w:ascii="宋体" w:hAnsi="宋体" w:cs="宋体"/>
          <w:color w:val="333333"/>
          <w:kern w:val="0"/>
          <w:sz w:val="28"/>
          <w:szCs w:val="28"/>
        </w:rPr>
      </w:pPr>
      <w:r>
        <w:rPr>
          <w:rFonts w:hint="eastAsia" w:ascii="宋体" w:hAnsi="宋体" w:cs="宋体"/>
          <w:color w:val="333333"/>
          <w:kern w:val="0"/>
          <w:sz w:val="28"/>
          <w:szCs w:val="28"/>
        </w:rPr>
        <w:t>（一）一般公共预算财政拨款支出决算总体情况</w:t>
      </w:r>
    </w:p>
    <w:p>
      <w:pPr>
        <w:widowControl/>
        <w:shd w:val="clear" w:color="auto" w:fill="FEFEFE"/>
        <w:spacing w:line="440" w:lineRule="atLeast"/>
        <w:ind w:firstLine="560" w:firstLineChars="200"/>
        <w:jc w:val="left"/>
        <w:rPr>
          <w:rFonts w:ascii="宋体" w:hAnsi="宋体" w:cs="宋体"/>
          <w:color w:val="333333"/>
          <w:kern w:val="0"/>
          <w:sz w:val="28"/>
          <w:szCs w:val="28"/>
        </w:rPr>
      </w:pPr>
      <w:r>
        <w:rPr>
          <w:rFonts w:hint="eastAsia" w:ascii="宋体" w:hAnsi="宋体" w:cs="宋体"/>
          <w:color w:val="333333"/>
          <w:kern w:val="0"/>
          <w:sz w:val="28"/>
          <w:szCs w:val="28"/>
        </w:rPr>
        <w:t xml:space="preserve"> </w:t>
      </w:r>
      <w:r>
        <w:rPr>
          <w:rFonts w:hint="eastAsia" w:eastAsia="方正仿宋_GBK"/>
          <w:sz w:val="33"/>
          <w:szCs w:val="33"/>
        </w:rPr>
        <w:t>2021年度一般公共预算财政拨款支出1439.08万元，占本年支出合计的87.47%。与2020年相比，一般公共预算财政拨款增加162.6万元，增长11.29%，主要人员变动。</w:t>
      </w:r>
    </w:p>
    <w:p>
      <w:pPr>
        <w:widowControl/>
        <w:shd w:val="clear" w:color="auto" w:fill="FEFEFE"/>
        <w:spacing w:line="440" w:lineRule="atLeast"/>
        <w:ind w:left="480"/>
        <w:jc w:val="left"/>
      </w:pPr>
      <w:r>
        <w:rPr>
          <w:rFonts w:hint="eastAsia"/>
        </w:rPr>
        <w:t xml:space="preserve"> </w:t>
      </w:r>
      <w:r>
        <w:drawing>
          <wp:inline distT="0" distB="0" distL="114300" distR="114300">
            <wp:extent cx="4572000" cy="2743200"/>
            <wp:effectExtent l="4445" t="4445" r="14605" b="14605"/>
            <wp:docPr id="115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shd w:val="clear" w:color="auto" w:fill="FEFEFE"/>
        <w:spacing w:line="440" w:lineRule="atLeast"/>
        <w:ind w:left="480"/>
        <w:jc w:val="left"/>
      </w:pPr>
    </w:p>
    <w:p>
      <w:pPr>
        <w:widowControl/>
        <w:spacing w:line="440" w:lineRule="atLeast"/>
        <w:jc w:val="left"/>
        <w:rPr>
          <w:rFonts w:ascii="宋体" w:hAnsi="宋体" w:cs="宋体"/>
          <w:color w:val="333333"/>
          <w:kern w:val="0"/>
          <w:sz w:val="28"/>
          <w:szCs w:val="28"/>
        </w:rPr>
      </w:pPr>
    </w:p>
    <w:p>
      <w:pPr>
        <w:widowControl/>
        <w:spacing w:line="440" w:lineRule="atLeast"/>
        <w:ind w:firstLine="280" w:firstLineChars="100"/>
        <w:jc w:val="left"/>
        <w:rPr>
          <w:rFonts w:ascii="宋体" w:hAnsi="宋体" w:cs="宋体"/>
          <w:color w:val="333333"/>
          <w:kern w:val="0"/>
          <w:sz w:val="28"/>
          <w:szCs w:val="28"/>
        </w:rPr>
      </w:pPr>
      <w:r>
        <w:rPr>
          <w:rFonts w:hint="eastAsia" w:ascii="宋体" w:hAnsi="宋体" w:cs="宋体"/>
          <w:color w:val="333333"/>
          <w:kern w:val="0"/>
          <w:sz w:val="28"/>
          <w:szCs w:val="28"/>
        </w:rPr>
        <w:t>（二）一般公共预算财政拨款支出决算结构情况</w:t>
      </w:r>
    </w:p>
    <w:p>
      <w:pPr>
        <w:pStyle w:val="10"/>
        <w:widowControl/>
        <w:rPr>
          <w:rFonts w:eastAsia="方正仿宋_GBK"/>
          <w:kern w:val="2"/>
          <w:sz w:val="33"/>
          <w:szCs w:val="33"/>
        </w:rPr>
      </w:pPr>
      <w:r>
        <w:rPr>
          <w:rFonts w:hint="eastAsia" w:ascii="宋体" w:hAnsi="宋体" w:cs="宋体"/>
          <w:color w:val="333333"/>
          <w:sz w:val="28"/>
          <w:szCs w:val="28"/>
        </w:rPr>
        <w:t>　</w:t>
      </w:r>
      <w:r>
        <w:rPr>
          <w:rFonts w:hint="eastAsia" w:eastAsia="方正仿宋_GBK"/>
          <w:kern w:val="2"/>
          <w:sz w:val="33"/>
          <w:szCs w:val="33"/>
        </w:rPr>
        <w:t>　2021年一般公共预算财政拨款支出1439.08万元，主要用于以下方面:一般公共服务（类）支出554.25万元，占38.51%；社会保障和就业（类）支出115.26万元，占8%；灾害防治及应急管理支出15.51万元，占1.08%；医疗卫生（类）支出13.32万元，占0.93%；住房保障（类）支出48.63万元，占3.38%；农林水（类）支出674.14万元，占46.85%；城乡社区支出6.98万元，占0.49%；节能环保支出11万，占0.76%。</w:t>
      </w:r>
      <w:r>
        <w:drawing>
          <wp:inline distT="0" distB="0" distL="114300" distR="114300">
            <wp:extent cx="4572000" cy="2561590"/>
            <wp:effectExtent l="4445" t="4445" r="14605" b="5715"/>
            <wp:docPr id="115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0"/>
        <w:widowControl/>
        <w:rPr>
          <w:rFonts w:ascii="宋体" w:hAnsi="宋体" w:cs="宋体"/>
          <w:color w:val="333333"/>
          <w:sz w:val="28"/>
          <w:szCs w:val="28"/>
        </w:rPr>
      </w:pPr>
      <w:r>
        <w:rPr>
          <w:rFonts w:hint="eastAsia" w:ascii="宋体" w:hAnsi="宋体" w:cs="宋体"/>
          <w:color w:val="333333"/>
          <w:sz w:val="28"/>
          <w:szCs w:val="28"/>
        </w:rPr>
        <w:t>一般公共预算财政拨款支出决算具体情况</w:t>
      </w:r>
    </w:p>
    <w:p>
      <w:pPr>
        <w:pStyle w:val="10"/>
        <w:widowControl/>
        <w:ind w:firstLine="660" w:firstLineChars="200"/>
        <w:rPr>
          <w:rFonts w:ascii="宋体" w:hAnsi="宋体" w:cs="宋体"/>
          <w:color w:val="333333"/>
          <w:sz w:val="28"/>
          <w:szCs w:val="28"/>
        </w:rPr>
      </w:pPr>
      <w:r>
        <w:rPr>
          <w:rFonts w:hint="eastAsia" w:eastAsia="方正仿宋_GBK"/>
          <w:kern w:val="2"/>
          <w:sz w:val="33"/>
          <w:szCs w:val="33"/>
        </w:rPr>
        <w:t>2021年一般公共预算支出决算数为1645.26万元，完成预算100%。其中：</w:t>
      </w:r>
    </w:p>
    <w:p>
      <w:pPr>
        <w:spacing w:line="590" w:lineRule="exact"/>
        <w:ind w:firstLine="660" w:firstLineChars="200"/>
        <w:rPr>
          <w:rFonts w:eastAsia="方正仿宋_GBK"/>
          <w:sz w:val="33"/>
          <w:szCs w:val="33"/>
        </w:rPr>
      </w:pPr>
      <w:r>
        <w:rPr>
          <w:rFonts w:hint="eastAsia" w:eastAsia="方正仿宋_GBK"/>
          <w:sz w:val="33"/>
          <w:szCs w:val="33"/>
        </w:rPr>
        <w:t>1、201类一般公共服务支出554.25万元，完成预算100%，决算数与预算数持平。20103款政府办公厅及相关机构事务2010301项行政运行510.68万元；20131款党委办公厅及相关事务2013101项行政运行43.67万元。</w:t>
      </w:r>
    </w:p>
    <w:p>
      <w:pPr>
        <w:spacing w:line="590" w:lineRule="exact"/>
        <w:ind w:firstLine="660" w:firstLineChars="200"/>
        <w:rPr>
          <w:rFonts w:eastAsia="方正仿宋_GBK"/>
          <w:sz w:val="33"/>
          <w:szCs w:val="33"/>
        </w:rPr>
      </w:pPr>
      <w:r>
        <w:rPr>
          <w:rFonts w:hint="eastAsia" w:eastAsia="方正仿宋_GBK"/>
          <w:sz w:val="33"/>
          <w:szCs w:val="33"/>
        </w:rPr>
        <w:t>2、208类社会保障和就业支出115.27万元，完成预算100%，决算数与预算数持平。20801款人力资源和社会保障管理事务2080199项其他人力资源和社会保障管理事务支出22.12万元；20805款2080501项行政单位离退休88.66万元，2080505项机关事业单位基本养老保险缴费支出42.57万元2080506项机关事业单位职业年金缴费支出25.82万元；20821款特困人员供养2082102项农村特困人员救助供养支出4.49万元。</w:t>
      </w:r>
    </w:p>
    <w:p>
      <w:pPr>
        <w:spacing w:line="590" w:lineRule="exact"/>
        <w:ind w:firstLine="660" w:firstLineChars="200"/>
        <w:rPr>
          <w:rFonts w:eastAsia="方正仿宋_GBK"/>
          <w:sz w:val="33"/>
          <w:szCs w:val="33"/>
        </w:rPr>
      </w:pPr>
      <w:r>
        <w:rPr>
          <w:rFonts w:hint="eastAsia" w:eastAsia="方正仿宋_GBK"/>
          <w:sz w:val="33"/>
          <w:szCs w:val="33"/>
        </w:rPr>
        <w:t>3、210类卫生健康支出13.32万元，完成预算100%，决算数与预算数持平。21004款公共卫生2100409项重大公共卫生服务项行政运行5.8万元；21011行政事业单位医疗款2101101项行政单位医疗7.52万元；2101102项事业单位医疗7.52万元。</w:t>
      </w:r>
    </w:p>
    <w:p>
      <w:pPr>
        <w:spacing w:line="590" w:lineRule="exact"/>
        <w:ind w:firstLine="660" w:firstLineChars="200"/>
        <w:rPr>
          <w:rFonts w:eastAsia="方正仿宋_GBK"/>
          <w:sz w:val="33"/>
          <w:szCs w:val="33"/>
        </w:rPr>
      </w:pPr>
      <w:r>
        <w:rPr>
          <w:rFonts w:hint="eastAsia" w:eastAsia="方正仿宋_GBK"/>
          <w:sz w:val="33"/>
          <w:szCs w:val="33"/>
        </w:rPr>
        <w:t>4、212类城乡社区支出213.37万元，完成预算100%，决算数与预算数持平。21201款城乡社区管理事务2120199项其他城乡社区管理事务支出6.98万元,2120土地使用权出让206.19万元。</w:t>
      </w:r>
    </w:p>
    <w:p>
      <w:pPr>
        <w:spacing w:line="590" w:lineRule="exact"/>
        <w:ind w:firstLine="660" w:firstLineChars="200"/>
        <w:rPr>
          <w:rFonts w:eastAsia="方正仿宋_GBK"/>
          <w:sz w:val="33"/>
          <w:szCs w:val="33"/>
        </w:rPr>
      </w:pPr>
      <w:r>
        <w:rPr>
          <w:rFonts w:hint="eastAsia" w:eastAsia="方正仿宋_GBK"/>
          <w:sz w:val="33"/>
          <w:szCs w:val="33"/>
        </w:rPr>
        <w:t>5、213类农林水支出674.14万元，完成预算100%，决算数与预算数持平。21301款农业2130104项事业运行93.4万元，21307款农村综合改革580.74万元，其中：2130705项对村民委员会和党支部的补助580.74万元。</w:t>
      </w:r>
    </w:p>
    <w:p>
      <w:pPr>
        <w:spacing w:line="590" w:lineRule="exact"/>
        <w:ind w:firstLine="660" w:firstLineChars="200"/>
        <w:rPr>
          <w:rFonts w:eastAsia="方正仿宋_GBK"/>
          <w:sz w:val="33"/>
          <w:szCs w:val="33"/>
        </w:rPr>
      </w:pPr>
      <w:r>
        <w:rPr>
          <w:rFonts w:hint="eastAsia" w:eastAsia="方正仿宋_GBK"/>
          <w:sz w:val="33"/>
          <w:szCs w:val="33"/>
        </w:rPr>
        <w:t>6、221类住房保障支出48.63万元，完成预算100%，决算数与预算数持平。22102款住房改革支出2210201项住房公积金48.63万元。</w:t>
      </w:r>
    </w:p>
    <w:p>
      <w:pPr>
        <w:spacing w:line="590" w:lineRule="exact"/>
        <w:ind w:firstLine="660" w:firstLineChars="200"/>
        <w:rPr>
          <w:rFonts w:eastAsia="方正仿宋_GBK"/>
          <w:sz w:val="33"/>
          <w:szCs w:val="33"/>
        </w:rPr>
      </w:pPr>
      <w:r>
        <w:rPr>
          <w:rFonts w:hint="eastAsia" w:eastAsia="方正仿宋_GBK"/>
          <w:sz w:val="33"/>
          <w:szCs w:val="33"/>
        </w:rPr>
        <w:t>7.224类灾害防治及应急管理支出15.51万元，完成预算100%，决算数与预算数持平。22406款自然灾害防治2240601项地质灾害防治15.51万元。</w:t>
      </w:r>
      <w:bookmarkStart w:id="18" w:name="_Toc16356"/>
    </w:p>
    <w:p>
      <w:pPr>
        <w:pStyle w:val="10"/>
        <w:widowControl/>
        <w:rPr>
          <w:rFonts w:ascii="微软雅黑" w:hAnsi="微软雅黑" w:eastAsia="微软雅黑" w:cs="微软雅黑"/>
          <w:color w:val="000000"/>
          <w:sz w:val="27"/>
          <w:szCs w:val="27"/>
        </w:rPr>
      </w:pPr>
    </w:p>
    <w:p>
      <w:pPr>
        <w:pStyle w:val="10"/>
        <w:widowControl/>
        <w:rPr>
          <w:rFonts w:ascii="微软雅黑" w:hAnsi="微软雅黑" w:eastAsia="微软雅黑" w:cs="微软雅黑"/>
          <w:color w:val="000000"/>
          <w:sz w:val="27"/>
          <w:szCs w:val="27"/>
        </w:rPr>
      </w:pP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六、一般公共预算财政拨款基本支出决算情况</w:t>
      </w:r>
      <w:bookmarkEnd w:id="18"/>
    </w:p>
    <w:p>
      <w:pPr>
        <w:spacing w:line="590" w:lineRule="exact"/>
        <w:ind w:firstLine="660" w:firstLineChars="200"/>
        <w:rPr>
          <w:rFonts w:eastAsia="方正仿宋_GBK"/>
          <w:sz w:val="33"/>
          <w:szCs w:val="33"/>
        </w:rPr>
      </w:pPr>
      <w:r>
        <w:rPr>
          <w:rFonts w:hint="eastAsia" w:eastAsia="方正仿宋_GBK"/>
          <w:sz w:val="33"/>
          <w:szCs w:val="33"/>
        </w:rPr>
        <w:t>2021年一般公共预算财政拨款基本支出1406.78万元，其中：人员经费1185.87万元，主要包括：基本工资、津贴补贴、奖金、绩效工资、机关事业单位基本养老保险缴费、其他社会保障缴费、其他工资福利支出、住房公积金等。</w:t>
      </w:r>
    </w:p>
    <w:p>
      <w:pPr>
        <w:spacing w:line="590" w:lineRule="exact"/>
        <w:ind w:firstLine="660" w:firstLineChars="200"/>
        <w:rPr>
          <w:rFonts w:eastAsia="方正仿宋_GBK"/>
          <w:sz w:val="33"/>
          <w:szCs w:val="33"/>
        </w:rPr>
      </w:pPr>
      <w:r>
        <w:rPr>
          <w:rFonts w:hint="eastAsia" w:eastAsia="方正仿宋_GBK"/>
          <w:sz w:val="33"/>
          <w:szCs w:val="33"/>
        </w:rPr>
        <w:t>公用经费220.91万元，主要包括：办公费、印刷费、手续费、邮电费、差旅费、维修（护）费、公务接待费、劳务费、工会经费、福利费、公务用车运行维护费、其他交通费、其他商品和服务支出等。</w:t>
      </w:r>
    </w:p>
    <w:p>
      <w:pPr>
        <w:pStyle w:val="6"/>
        <w:numPr>
          <w:ilvl w:val="0"/>
          <w:numId w:val="2"/>
        </w:numPr>
        <w:ind w:left="630" w:leftChars="0" w:firstLineChars="0"/>
        <w:rPr>
          <w:rFonts w:eastAsia="方正仿宋_GBK"/>
          <w:sz w:val="33"/>
          <w:szCs w:val="33"/>
        </w:rPr>
      </w:pPr>
      <w:r>
        <w:rPr>
          <w:rFonts w:hint="eastAsia" w:eastAsia="方正仿宋_GBK"/>
          <w:b/>
          <w:bCs/>
          <w:sz w:val="33"/>
          <w:szCs w:val="33"/>
        </w:rPr>
        <w:t>一</w:t>
      </w:r>
      <w:r>
        <w:rPr>
          <w:rFonts w:hint="eastAsia" w:ascii="黑体" w:hAnsi="黑体" w:eastAsia="黑体" w:cs="黑体"/>
          <w:color w:val="000000"/>
          <w:kern w:val="2"/>
          <w:sz w:val="32"/>
          <w:szCs w:val="32"/>
          <w:lang w:val="en-US" w:eastAsia="zh-CN" w:bidi="ar-SA"/>
        </w:rPr>
        <w:t>般公共预算财政拨款项目支出决算情况说明</w:t>
      </w:r>
      <w:r>
        <w:rPr>
          <w:rFonts w:hint="eastAsia" w:eastAsia="方正仿宋_GBK"/>
          <w:sz w:val="33"/>
          <w:szCs w:val="33"/>
        </w:rPr>
        <w:t>。</w:t>
      </w:r>
    </w:p>
    <w:p>
      <w:pPr>
        <w:spacing w:line="600" w:lineRule="exact"/>
        <w:rPr>
          <w:rFonts w:ascii="仿宋" w:hAnsi="仿宋" w:eastAsia="仿宋" w:cs="仿宋"/>
          <w:color w:val="000000"/>
          <w:sz w:val="32"/>
          <w:szCs w:val="32"/>
        </w:rPr>
      </w:pPr>
      <w:bookmarkStart w:id="19" w:name="_Toc24123"/>
      <w:r>
        <w:rPr>
          <w:rFonts w:hint="eastAsia" w:eastAsia="方正仿宋_GBK"/>
          <w:sz w:val="33"/>
          <w:szCs w:val="33"/>
        </w:rPr>
        <w:t>2021年一般公共预算财政拨款项目支出32.30万元，其中：重大公共卫生服务防疫经费5.8万元，主要用于新冠疫情防控；水体11.00万元，主要用于水资源保护；地质灾害防治15.50万元，主要用于应急抢险，灾后重建。</w:t>
      </w:r>
    </w:p>
    <w:bookmarkEnd w:id="19"/>
    <w:p>
      <w:pPr>
        <w:spacing w:line="600" w:lineRule="exact"/>
        <w:ind w:firstLine="640"/>
        <w:outlineLvl w:val="1"/>
        <w:rPr>
          <w:rStyle w:val="16"/>
          <w:rFonts w:ascii="黑体" w:hAnsi="黑体" w:eastAsia="黑体"/>
          <w:b w:val="0"/>
          <w:highlight w:val="none"/>
        </w:rPr>
      </w:pPr>
      <w:bookmarkStart w:id="20" w:name="_Toc15396609"/>
      <w:bookmarkStart w:id="21" w:name="_Toc15377215"/>
      <w:bookmarkStart w:id="22" w:name="_Toc26289"/>
      <w:bookmarkStart w:id="23" w:name="_Toc25022"/>
      <w:r>
        <w:rPr>
          <w:rFonts w:hint="eastAsia" w:ascii="黑体" w:eastAsia="黑体"/>
          <w:sz w:val="32"/>
          <w:szCs w:val="32"/>
          <w:highlight w:val="none"/>
        </w:rPr>
        <w:t>八、</w:t>
      </w:r>
      <w:r>
        <w:rPr>
          <w:rStyle w:val="16"/>
          <w:rFonts w:hint="eastAsia" w:ascii="黑体" w:hAnsi="黑体" w:eastAsia="黑体"/>
          <w:highlight w:val="none"/>
        </w:rPr>
        <w:t>“</w:t>
      </w:r>
      <w:r>
        <w:rPr>
          <w:rStyle w:val="16"/>
          <w:rFonts w:hint="eastAsia" w:ascii="黑体" w:hAnsi="黑体" w:eastAsia="黑体"/>
          <w:b w:val="0"/>
          <w:highlight w:val="none"/>
        </w:rPr>
        <w:t>三公”经费财政拨款支出决算情况说明</w:t>
      </w:r>
      <w:bookmarkEnd w:id="20"/>
      <w:bookmarkEnd w:id="21"/>
    </w:p>
    <w:p>
      <w:pPr>
        <w:spacing w:line="600" w:lineRule="exact"/>
        <w:ind w:firstLine="640"/>
        <w:outlineLvl w:val="2"/>
        <w:rPr>
          <w:rFonts w:ascii="仿宋" w:hAnsi="仿宋" w:eastAsia="仿宋"/>
          <w:b/>
          <w:sz w:val="32"/>
          <w:szCs w:val="32"/>
          <w:highlight w:val="none"/>
        </w:rPr>
      </w:pPr>
      <w:bookmarkStart w:id="24" w:name="_Toc15377216"/>
      <w:r>
        <w:rPr>
          <w:rFonts w:hint="eastAsia" w:ascii="仿宋" w:hAnsi="仿宋" w:eastAsia="仿宋"/>
          <w:b/>
          <w:sz w:val="32"/>
          <w:szCs w:val="32"/>
          <w:highlight w:val="none"/>
        </w:rPr>
        <w:t>（一）“三公”经费财政拨款支出决算总体情况说明</w:t>
      </w:r>
      <w:bookmarkEnd w:id="24"/>
    </w:p>
    <w:p>
      <w:pPr>
        <w:spacing w:line="600" w:lineRule="exact"/>
        <w:ind w:firstLine="640"/>
        <w:rPr>
          <w:rFonts w:ascii="仿宋" w:hAnsi="仿宋" w:eastAsia="仿宋"/>
          <w:color w:val="000000"/>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21年“三公”经费财政拨款支出决算为</w:t>
      </w:r>
      <w:r>
        <w:rPr>
          <w:rFonts w:hint="eastAsia" w:ascii="仿宋" w:hAnsi="仿宋" w:eastAsia="仿宋"/>
          <w:sz w:val="32"/>
          <w:szCs w:val="32"/>
          <w:highlight w:val="none"/>
          <w:lang w:val="en-US" w:eastAsia="zh-CN"/>
        </w:rPr>
        <w:t>3.76</w:t>
      </w:r>
      <w:r>
        <w:rPr>
          <w:rFonts w:hint="eastAsia" w:ascii="仿宋" w:hAnsi="仿宋" w:eastAsia="仿宋"/>
          <w:sz w:val="32"/>
          <w:szCs w:val="32"/>
          <w:highlight w:val="none"/>
        </w:rPr>
        <w:t>万元，完成预算</w:t>
      </w:r>
      <w:r>
        <w:rPr>
          <w:rFonts w:hint="eastAsia" w:ascii="仿宋" w:hAnsi="仿宋" w:eastAsia="仿宋"/>
          <w:sz w:val="32"/>
          <w:szCs w:val="32"/>
          <w:highlight w:val="none"/>
          <w:lang w:val="en-US" w:eastAsia="zh-CN"/>
        </w:rPr>
        <w:t>67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_GB2312" w:eastAsia="仿宋_GB2312"/>
          <w:sz w:val="32"/>
          <w:szCs w:val="32"/>
          <w:highlight w:val="none"/>
        </w:rPr>
        <w:t>支出决算比</w:t>
      </w:r>
      <w:r>
        <w:rPr>
          <w:rFonts w:ascii="仿宋_GB2312" w:eastAsia="仿宋_GB2312"/>
          <w:sz w:val="32"/>
          <w:szCs w:val="32"/>
          <w:highlight w:val="none"/>
        </w:rPr>
        <w:t>20</w:t>
      </w:r>
      <w:r>
        <w:rPr>
          <w:rFonts w:hint="eastAsia" w:ascii="仿宋_GB2312" w:eastAsia="仿宋_GB2312"/>
          <w:sz w:val="32"/>
          <w:szCs w:val="32"/>
          <w:highlight w:val="none"/>
        </w:rPr>
        <w:t>20年减少</w:t>
      </w:r>
      <w:r>
        <w:rPr>
          <w:rFonts w:hint="eastAsia" w:ascii="仿宋_GB2312" w:eastAsia="仿宋_GB2312"/>
          <w:sz w:val="32"/>
          <w:szCs w:val="32"/>
          <w:highlight w:val="none"/>
          <w:lang w:val="en-US" w:eastAsia="zh-CN"/>
        </w:rPr>
        <w:t>0.3</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7.97</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 w:hAnsi="仿宋" w:eastAsia="仿宋"/>
          <w:sz w:val="32"/>
          <w:szCs w:val="32"/>
          <w:highlight w:val="none"/>
        </w:rPr>
        <w:t>严格执行公务接待相关规定，厉行节约，压缩开支。决算数小于预算数（或与预算数持平）的主要原因</w:t>
      </w:r>
      <w:r>
        <w:rPr>
          <w:rFonts w:hint="eastAsia" w:ascii="仿宋" w:hAnsi="仿宋" w:eastAsia="仿宋"/>
          <w:color w:val="000000"/>
          <w:sz w:val="32"/>
          <w:szCs w:val="32"/>
          <w:highlight w:val="none"/>
        </w:rPr>
        <w:t>是严格执行公务接待相关规定，厉行节约，压缩开支。</w:t>
      </w:r>
    </w:p>
    <w:p>
      <w:pPr>
        <w:spacing w:line="600" w:lineRule="exact"/>
        <w:ind w:firstLine="640"/>
        <w:outlineLvl w:val="2"/>
        <w:rPr>
          <w:rFonts w:ascii="仿宋" w:hAnsi="仿宋" w:eastAsia="仿宋"/>
          <w:b/>
          <w:sz w:val="32"/>
          <w:szCs w:val="32"/>
          <w:highlight w:val="none"/>
        </w:rPr>
      </w:pPr>
      <w:bookmarkStart w:id="25" w:name="_Toc15377217"/>
      <w:r>
        <w:rPr>
          <w:rFonts w:hint="eastAsia" w:ascii="仿宋" w:hAnsi="仿宋" w:eastAsia="仿宋"/>
          <w:b/>
          <w:sz w:val="32"/>
          <w:szCs w:val="32"/>
          <w:highlight w:val="none"/>
        </w:rPr>
        <w:t>（二）“三公”经费财政拨款支出决算具体情况说明</w:t>
      </w:r>
      <w:bookmarkEnd w:id="25"/>
    </w:p>
    <w:p>
      <w:pPr>
        <w:spacing w:line="600" w:lineRule="exact"/>
        <w:ind w:firstLine="640"/>
        <w:rPr>
          <w:highlight w:val="none"/>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年“三公”经费财政拨款支出</w:t>
      </w:r>
      <w:r>
        <w:rPr>
          <w:rFonts w:hint="default" w:ascii="Times New Roman" w:hAnsi="Times New Roman" w:eastAsia="方正仿宋_GBK" w:cs="Times New Roman"/>
          <w:color w:val="auto"/>
          <w:sz w:val="32"/>
          <w:szCs w:val="32"/>
          <w:highlight w:val="none"/>
          <w:lang w:val="en-US" w:eastAsia="zh-CN"/>
        </w:rPr>
        <w:t>3.76</w:t>
      </w:r>
      <w:r>
        <w:rPr>
          <w:rFonts w:hint="default" w:ascii="Times New Roman" w:hAnsi="Times New Roman" w:eastAsia="方正仿宋_GBK" w:cs="Times New Roman"/>
          <w:color w:val="auto"/>
          <w:sz w:val="32"/>
          <w:szCs w:val="32"/>
          <w:highlight w:val="none"/>
        </w:rPr>
        <w:t>万元，比2020年减少</w:t>
      </w:r>
      <w:r>
        <w:rPr>
          <w:rFonts w:hint="default" w:ascii="Times New Roman" w:hAnsi="Times New Roman" w:eastAsia="方正仿宋_GBK" w:cs="Times New Roman"/>
          <w:color w:val="auto"/>
          <w:sz w:val="32"/>
          <w:szCs w:val="32"/>
          <w:highlight w:val="none"/>
          <w:lang w:val="en-US" w:eastAsia="zh-CN"/>
        </w:rPr>
        <w:t>0.3</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7.97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是严格执行公务接待相关规定，厉行节约，压缩开支。</w:t>
      </w:r>
      <w:r>
        <w:rPr>
          <w:rFonts w:hint="default" w:ascii="Times New Roman" w:hAnsi="Times New Roman" w:eastAsia="方正仿宋_GBK" w:cs="Times New Roman"/>
          <w:color w:val="auto"/>
          <w:sz w:val="32"/>
          <w:szCs w:val="32"/>
          <w:highlight w:val="none"/>
          <w:lang w:eastAsia="zh-CN"/>
        </w:rPr>
        <w:t>其中：</w:t>
      </w:r>
      <w:r>
        <w:rPr>
          <w:rFonts w:hint="default" w:ascii="Times New Roman" w:hAnsi="Times New Roman" w:eastAsia="方正仿宋_GBK" w:cs="Times New Roman"/>
          <w:color w:val="auto"/>
          <w:sz w:val="32"/>
          <w:szCs w:val="32"/>
          <w:highlight w:val="none"/>
        </w:rPr>
        <w:t>因公出国（境）费支出决算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%；公务用车购置及运行维护费支出决算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%；公务接待费支出决算</w:t>
      </w:r>
      <w:r>
        <w:rPr>
          <w:rFonts w:hint="default" w:ascii="Times New Roman" w:hAnsi="Times New Roman" w:eastAsia="方正仿宋_GBK" w:cs="Times New Roman"/>
          <w:color w:val="auto"/>
          <w:sz w:val="32"/>
          <w:szCs w:val="32"/>
          <w:highlight w:val="none"/>
          <w:lang w:val="en-US" w:eastAsia="zh-CN"/>
        </w:rPr>
        <w:t>3.76</w:t>
      </w:r>
      <w:r>
        <w:rPr>
          <w:rFonts w:hint="default" w:ascii="Times New Roman" w:hAnsi="Times New Roman" w:eastAsia="方正仿宋_GBK" w:cs="Times New Roman"/>
          <w:color w:val="auto"/>
          <w:sz w:val="32"/>
          <w:szCs w:val="32"/>
          <w:highlight w:val="none"/>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spacing w:before="93"/>
        <w:rPr>
          <w:highlight w:val="none"/>
        </w:rPr>
      </w:pPr>
      <w:r>
        <w:rPr>
          <w:highlight w:val="none"/>
        </w:rPr>
        <w:drawing>
          <wp:inline distT="0" distB="0" distL="0" distR="0">
            <wp:extent cx="5274310" cy="3076575"/>
            <wp:effectExtent l="5080" t="4445" r="1651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（图7：“三公”经费财政拨款支出结构）（饼状图）</w:t>
      </w:r>
    </w:p>
    <w:p>
      <w:pPr>
        <w:spacing w:line="600" w:lineRule="exact"/>
        <w:ind w:firstLine="640"/>
        <w:rPr>
          <w:rStyle w:val="13"/>
          <w:rFonts w:ascii="仿宋" w:hAnsi="仿宋" w:eastAsia="仿宋"/>
          <w:b w:val="0"/>
          <w:bCs/>
          <w:sz w:val="32"/>
          <w:szCs w:val="32"/>
          <w:highlight w:val="none"/>
        </w:rPr>
      </w:pPr>
      <w:r>
        <w:rPr>
          <w:rFonts w:ascii="仿宋_GB2312" w:eastAsia="仿宋_GB2312"/>
          <w:b/>
          <w:sz w:val="32"/>
          <w:szCs w:val="32"/>
          <w:highlight w:val="none"/>
        </w:rPr>
        <w:t>1.</w:t>
      </w:r>
      <w:r>
        <w:rPr>
          <w:rFonts w:hint="eastAsia" w:ascii="仿宋_GB2312" w:eastAsia="仿宋_GB2312"/>
          <w:b/>
          <w:sz w:val="32"/>
          <w:szCs w:val="32"/>
          <w:highlight w:val="none"/>
        </w:rPr>
        <w:t>因公出国（境）经费支出</w:t>
      </w:r>
      <w:r>
        <w:rPr>
          <w:rFonts w:hint="eastAsia" w:ascii="仿宋_GB2312" w:eastAsia="仿宋_GB2312"/>
          <w:sz w:val="32"/>
          <w:szCs w:val="32"/>
          <w:highlight w:val="none"/>
        </w:rPr>
        <w:t>0万元，</w:t>
      </w:r>
      <w:r>
        <w:rPr>
          <w:rStyle w:val="13"/>
          <w:rFonts w:hint="eastAsia" w:ascii="仿宋" w:hAnsi="仿宋" w:eastAsia="仿宋"/>
          <w:b w:val="0"/>
          <w:bCs/>
          <w:sz w:val="32"/>
          <w:szCs w:val="32"/>
          <w:highlight w:val="none"/>
        </w:rPr>
        <w:t>完成预算100</w:t>
      </w:r>
      <w:r>
        <w:rPr>
          <w:rStyle w:val="13"/>
          <w:rFonts w:ascii="仿宋" w:hAnsi="仿宋" w:eastAsia="仿宋"/>
          <w:b w:val="0"/>
          <w:bCs/>
          <w:sz w:val="32"/>
          <w:szCs w:val="32"/>
          <w:highlight w:val="none"/>
        </w:rPr>
        <w:t>%，</w:t>
      </w:r>
      <w:r>
        <w:rPr>
          <w:rStyle w:val="13"/>
          <w:rFonts w:hint="eastAsia" w:ascii="仿宋" w:hAnsi="仿宋" w:eastAsia="仿宋"/>
          <w:b w:val="0"/>
          <w:bCs/>
          <w:sz w:val="32"/>
          <w:szCs w:val="32"/>
          <w:highlight w:val="none"/>
        </w:rPr>
        <w:t>与2020年持平。</w:t>
      </w:r>
      <w:r>
        <w:rPr>
          <w:rFonts w:hint="eastAsia" w:ascii="仿宋_GB2312" w:eastAsia="仿宋_GB2312"/>
          <w:sz w:val="32"/>
          <w:szCs w:val="32"/>
          <w:highlight w:val="none"/>
        </w:rPr>
        <w:t>全年安排因公出国（境）团组0次，出国（境）0人。</w:t>
      </w:r>
    </w:p>
    <w:p>
      <w:pPr>
        <w:spacing w:line="600" w:lineRule="exact"/>
        <w:ind w:firstLine="640"/>
        <w:rPr>
          <w:rStyle w:val="13"/>
          <w:rFonts w:ascii="仿宋" w:hAnsi="仿宋" w:eastAsia="仿宋"/>
          <w:b w:val="0"/>
          <w:bCs/>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hint="eastAsia" w:ascii="仿宋_GB2312" w:eastAsia="仿宋_GB2312"/>
          <w:sz w:val="32"/>
          <w:szCs w:val="32"/>
          <w:highlight w:val="none"/>
        </w:rPr>
        <w:t>0万元，</w:t>
      </w:r>
      <w:r>
        <w:rPr>
          <w:rStyle w:val="13"/>
          <w:rFonts w:hint="eastAsia" w:ascii="仿宋" w:hAnsi="仿宋" w:eastAsia="仿宋"/>
          <w:b w:val="0"/>
          <w:bCs/>
          <w:sz w:val="32"/>
          <w:szCs w:val="32"/>
          <w:highlight w:val="none"/>
        </w:rPr>
        <w:t>完成预算100</w:t>
      </w:r>
      <w:r>
        <w:rPr>
          <w:rStyle w:val="13"/>
          <w:rFonts w:ascii="仿宋" w:hAnsi="仿宋" w:eastAsia="仿宋"/>
          <w:b w:val="0"/>
          <w:bCs/>
          <w:sz w:val="32"/>
          <w:szCs w:val="32"/>
          <w:highlight w:val="none"/>
        </w:rPr>
        <w:t>%</w:t>
      </w:r>
      <w:r>
        <w:rPr>
          <w:rStyle w:val="13"/>
          <w:rFonts w:hint="eastAsia" w:ascii="仿宋" w:hAnsi="仿宋" w:eastAsia="仿宋"/>
          <w:b w:val="0"/>
          <w:bCs/>
          <w:sz w:val="32"/>
          <w:szCs w:val="32"/>
          <w:highlight w:val="none"/>
        </w:rPr>
        <w:t>，与2020年持平。</w:t>
      </w:r>
    </w:p>
    <w:p>
      <w:pPr>
        <w:spacing w:line="600" w:lineRule="exact"/>
        <w:ind w:firstLine="640"/>
        <w:rPr>
          <w:rFonts w:ascii="仿宋_GB2312" w:eastAsia="仿宋_GB2312"/>
          <w:sz w:val="32"/>
          <w:szCs w:val="32"/>
          <w:highlight w:val="none"/>
        </w:rPr>
      </w:pPr>
      <w:r>
        <w:rPr>
          <w:rFonts w:hint="eastAsia" w:ascii="仿宋_GB2312" w:eastAsia="仿宋_GB2312"/>
          <w:sz w:val="32"/>
          <w:szCs w:val="32"/>
          <w:highlight w:val="none"/>
        </w:rPr>
        <w:t>其中：</w:t>
      </w:r>
      <w:r>
        <w:rPr>
          <w:rFonts w:hint="eastAsia" w:ascii="仿宋_GB2312" w:eastAsia="仿宋_GB2312"/>
          <w:b/>
          <w:sz w:val="32"/>
          <w:szCs w:val="32"/>
          <w:highlight w:val="none"/>
        </w:rPr>
        <w:t>公务用车购置支出</w:t>
      </w:r>
      <w:r>
        <w:rPr>
          <w:rFonts w:hint="eastAsia" w:ascii="仿宋_GB2312" w:eastAsia="仿宋_GB2312"/>
          <w:sz w:val="32"/>
          <w:szCs w:val="32"/>
          <w:highlight w:val="none"/>
        </w:rPr>
        <w:t>0万元。全年按规定更新购置公务用车0辆。</w:t>
      </w:r>
    </w:p>
    <w:p>
      <w:pPr>
        <w:spacing w:line="600" w:lineRule="exact"/>
        <w:ind w:firstLine="640"/>
        <w:rPr>
          <w:rFonts w:ascii="仿宋_GB2312" w:eastAsia="仿宋_GB2312"/>
          <w:sz w:val="32"/>
          <w:szCs w:val="32"/>
          <w:highlight w:val="none"/>
        </w:rPr>
      </w:pPr>
      <w:r>
        <w:rPr>
          <w:rFonts w:hint="eastAsia" w:ascii="仿宋_GB2312" w:eastAsia="仿宋_GB2312"/>
          <w:b/>
          <w:sz w:val="32"/>
          <w:szCs w:val="32"/>
          <w:highlight w:val="none"/>
        </w:rPr>
        <w:t>公务用车运行维护费支出</w:t>
      </w:r>
      <w:r>
        <w:rPr>
          <w:rFonts w:hint="eastAsia" w:ascii="仿宋_GB2312" w:eastAsia="仿宋_GB2312"/>
          <w:sz w:val="32"/>
          <w:szCs w:val="32"/>
          <w:highlight w:val="none"/>
        </w:rPr>
        <w:t>0万元。</w:t>
      </w:r>
    </w:p>
    <w:p>
      <w:pPr>
        <w:spacing w:line="600" w:lineRule="exact"/>
        <w:ind w:firstLine="640"/>
        <w:rPr>
          <w:rFonts w:ascii="仿宋" w:hAnsi="仿宋" w:eastAsia="仿宋"/>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hint="eastAsia" w:ascii="仿宋_GB2312" w:eastAsia="仿宋_GB2312"/>
          <w:sz w:val="32"/>
          <w:szCs w:val="32"/>
          <w:highlight w:val="none"/>
          <w:lang w:val="en-US" w:eastAsia="zh-CN"/>
        </w:rPr>
        <w:t>3.76</w:t>
      </w:r>
      <w:r>
        <w:rPr>
          <w:rFonts w:hint="eastAsia" w:ascii="仿宋_GB2312" w:eastAsia="仿宋_GB2312"/>
          <w:sz w:val="32"/>
          <w:szCs w:val="32"/>
          <w:highlight w:val="none"/>
        </w:rPr>
        <w:t>万元，</w:t>
      </w:r>
      <w:r>
        <w:rPr>
          <w:rStyle w:val="13"/>
          <w:rFonts w:hint="eastAsia" w:ascii="仿宋" w:hAnsi="仿宋" w:eastAsia="仿宋"/>
          <w:b w:val="0"/>
          <w:bCs/>
          <w:sz w:val="32"/>
          <w:szCs w:val="32"/>
          <w:highlight w:val="none"/>
        </w:rPr>
        <w:t>完成预算</w:t>
      </w:r>
      <w:r>
        <w:rPr>
          <w:rStyle w:val="13"/>
          <w:rFonts w:hint="eastAsia" w:ascii="仿宋" w:hAnsi="仿宋" w:eastAsia="仿宋"/>
          <w:b w:val="0"/>
          <w:bCs/>
          <w:sz w:val="32"/>
          <w:szCs w:val="32"/>
          <w:highlight w:val="none"/>
          <w:lang w:val="en-US" w:eastAsia="zh-CN"/>
        </w:rPr>
        <w:t>67</w:t>
      </w:r>
      <w:r>
        <w:rPr>
          <w:rStyle w:val="13"/>
          <w:rFonts w:ascii="仿宋" w:hAnsi="仿宋" w:eastAsia="仿宋"/>
          <w:b w:val="0"/>
          <w:bCs/>
          <w:sz w:val="32"/>
          <w:szCs w:val="32"/>
          <w:highlight w:val="none"/>
        </w:rPr>
        <w:t>%</w:t>
      </w:r>
      <w:r>
        <w:rPr>
          <w:rStyle w:val="13"/>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公务接待费支出决算比</w:t>
      </w:r>
      <w:r>
        <w:rPr>
          <w:rFonts w:ascii="仿宋_GB2312" w:eastAsia="仿宋_GB2312"/>
          <w:sz w:val="32"/>
          <w:szCs w:val="32"/>
          <w:highlight w:val="none"/>
        </w:rPr>
        <w:t>20</w:t>
      </w:r>
      <w:r>
        <w:rPr>
          <w:rFonts w:hint="eastAsia" w:ascii="仿宋_GB2312" w:eastAsia="仿宋_GB2312"/>
          <w:sz w:val="32"/>
          <w:szCs w:val="32"/>
          <w:highlight w:val="none"/>
        </w:rPr>
        <w:t>20年减少</w:t>
      </w:r>
      <w:r>
        <w:rPr>
          <w:rFonts w:hint="eastAsia" w:ascii="仿宋_GB2312" w:eastAsia="仿宋_GB2312"/>
          <w:sz w:val="32"/>
          <w:szCs w:val="32"/>
          <w:highlight w:val="none"/>
          <w:lang w:val="en-US" w:eastAsia="zh-CN"/>
        </w:rPr>
        <w:t>0.3</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7.97</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 w:hAnsi="仿宋" w:eastAsia="仿宋"/>
          <w:sz w:val="32"/>
          <w:szCs w:val="32"/>
          <w:highlight w:val="none"/>
        </w:rPr>
        <w:t>严格执行公务接待相关规定，厉行节约，压缩开支。</w:t>
      </w:r>
    </w:p>
    <w:p>
      <w:pPr>
        <w:spacing w:line="600" w:lineRule="exact"/>
        <w:ind w:firstLine="640"/>
        <w:rPr>
          <w:rFonts w:ascii="仿宋_GB2312" w:eastAsia="仿宋_GB2312"/>
          <w:sz w:val="32"/>
          <w:szCs w:val="32"/>
          <w:highlight w:val="none"/>
        </w:rPr>
      </w:pPr>
      <w:r>
        <w:rPr>
          <w:rFonts w:hint="eastAsia" w:ascii="仿宋_GB2312" w:eastAsia="仿宋_GB2312"/>
          <w:sz w:val="32"/>
          <w:szCs w:val="32"/>
          <w:highlight w:val="none"/>
        </w:rPr>
        <w:t>其中：</w:t>
      </w:r>
    </w:p>
    <w:p>
      <w:p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国内公务接待支出</w:t>
      </w:r>
      <w:r>
        <w:rPr>
          <w:rFonts w:hint="eastAsia" w:ascii="仿宋" w:hAnsi="仿宋" w:eastAsia="仿宋"/>
          <w:sz w:val="32"/>
          <w:szCs w:val="32"/>
          <w:highlight w:val="none"/>
          <w:lang w:val="en-US" w:eastAsia="zh-CN"/>
        </w:rPr>
        <w:t>3.76</w:t>
      </w:r>
      <w:r>
        <w:rPr>
          <w:rFonts w:hint="eastAsia" w:ascii="仿宋_GB2312" w:eastAsia="仿宋_GB2312"/>
          <w:sz w:val="32"/>
          <w:szCs w:val="32"/>
          <w:highlight w:val="none"/>
        </w:rPr>
        <w:t>万元，主要用于执行公务、开展业务活动开支的交通费、住宿费、用餐费等。国内公务接待</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266</w:t>
      </w:r>
      <w:r>
        <w:rPr>
          <w:rFonts w:hint="eastAsia" w:ascii="仿宋_GB2312" w:eastAsia="仿宋_GB2312"/>
          <w:sz w:val="32"/>
          <w:szCs w:val="32"/>
          <w:highlight w:val="none"/>
        </w:rPr>
        <w:t>人次（不包括陪同人员），共计支出0.54万元，</w:t>
      </w:r>
      <w:r>
        <w:rPr>
          <w:rFonts w:ascii="仿宋_GB2312" w:eastAsia="仿宋_GB2312"/>
          <w:sz w:val="32"/>
          <w:szCs w:val="32"/>
          <w:highlight w:val="none"/>
        </w:rPr>
        <w:t xml:space="preserve"> </w:t>
      </w:r>
    </w:p>
    <w:p>
      <w:pPr>
        <w:spacing w:line="600" w:lineRule="exact"/>
        <w:ind w:firstLine="642" w:firstLineChars="200"/>
        <w:rPr>
          <w:rFonts w:ascii="仿宋_GB2312" w:eastAsia="仿宋_GB2312"/>
          <w:sz w:val="32"/>
          <w:szCs w:val="32"/>
          <w:highlight w:val="none"/>
        </w:rPr>
      </w:pPr>
      <w:r>
        <w:rPr>
          <w:rFonts w:hint="eastAsia" w:ascii="仿宋" w:hAnsi="仿宋" w:eastAsia="仿宋"/>
          <w:b/>
          <w:sz w:val="32"/>
          <w:szCs w:val="32"/>
          <w:highlight w:val="none"/>
        </w:rPr>
        <w:t>外事接待支出</w:t>
      </w:r>
      <w:r>
        <w:rPr>
          <w:rFonts w:hint="eastAsia" w:ascii="仿宋" w:hAnsi="仿宋" w:eastAsia="仿宋"/>
          <w:sz w:val="32"/>
          <w:szCs w:val="32"/>
          <w:highlight w:val="none"/>
        </w:rPr>
        <w:t>0</w:t>
      </w:r>
      <w:r>
        <w:rPr>
          <w:rFonts w:hint="eastAsia" w:ascii="仿宋_GB2312" w:eastAsia="仿宋_GB2312"/>
          <w:sz w:val="32"/>
          <w:szCs w:val="32"/>
          <w:highlight w:val="none"/>
        </w:rPr>
        <w:t>万元，外事接待0批次，0人，共计支出0万元。</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九、政府性基金预算财政拨款支出决算情况</w:t>
      </w:r>
    </w:p>
    <w:p>
      <w:pPr>
        <w:pStyle w:val="4"/>
        <w:rPr>
          <w:rFonts w:ascii="Times New Roman" w:hAnsi="Times New Roman" w:eastAsia="方正仿宋_GBK"/>
          <w:b w:val="0"/>
          <w:bCs w:val="0"/>
          <w:sz w:val="33"/>
          <w:szCs w:val="33"/>
        </w:rPr>
      </w:pPr>
      <w:r>
        <w:rPr>
          <w:rFonts w:hint="eastAsia" w:ascii="宋体" w:hAnsi="宋体" w:cs="宋体"/>
          <w:b w:val="0"/>
          <w:bCs w:val="0"/>
          <w:color w:val="000000"/>
          <w:sz w:val="28"/>
          <w:szCs w:val="28"/>
        </w:rPr>
        <w:t>　　</w:t>
      </w:r>
      <w:r>
        <w:rPr>
          <w:rFonts w:hint="eastAsia" w:ascii="Times New Roman" w:hAnsi="Times New Roman" w:eastAsia="方正仿宋_GBK"/>
          <w:b w:val="0"/>
          <w:bCs w:val="0"/>
          <w:sz w:val="33"/>
          <w:szCs w:val="33"/>
        </w:rPr>
        <w:t>2021年使用政府性基金预算财政拨款支出206.19万元。其中土地开发类支出206.19万元。</w:t>
      </w:r>
      <w:bookmarkEnd w:id="22"/>
      <w:bookmarkEnd w:id="23"/>
    </w:p>
    <w:p>
      <w:pPr>
        <w:spacing w:line="600" w:lineRule="exact"/>
        <w:ind w:firstLine="640" w:firstLineChars="200"/>
        <w:rPr>
          <w:rFonts w:ascii="黑体" w:hAnsi="黑体" w:eastAsia="黑体" w:cs="黑体"/>
          <w:color w:val="000000"/>
          <w:sz w:val="32"/>
          <w:szCs w:val="32"/>
        </w:rPr>
      </w:pPr>
      <w:bookmarkStart w:id="26" w:name="_Toc15377219"/>
      <w:bookmarkStart w:id="27" w:name="_Toc18765"/>
      <w:r>
        <w:rPr>
          <w:rFonts w:hint="eastAsia" w:ascii="黑体" w:hAnsi="黑体" w:eastAsia="黑体" w:cs="黑体"/>
          <w:color w:val="000000"/>
          <w:sz w:val="32"/>
          <w:szCs w:val="32"/>
        </w:rPr>
        <w:t>十、国有资本经营预算支出决算情况说明</w:t>
      </w:r>
      <w:bookmarkEnd w:id="26"/>
      <w:bookmarkEnd w:id="27"/>
    </w:p>
    <w:p>
      <w:pPr>
        <w:spacing w:line="600" w:lineRule="exact"/>
        <w:ind w:firstLine="640"/>
        <w:rPr>
          <w:rFonts w:eastAsia="方正仿宋_GBK"/>
          <w:sz w:val="33"/>
          <w:szCs w:val="33"/>
        </w:rPr>
      </w:pPr>
      <w:r>
        <w:rPr>
          <w:rFonts w:hint="eastAsia" w:eastAsia="方正仿宋_GBK"/>
          <w:sz w:val="33"/>
          <w:szCs w:val="33"/>
        </w:rPr>
        <w:t>2021年国有资本经营预算拨款支出0万元。</w:t>
      </w:r>
    </w:p>
    <w:p>
      <w:pPr>
        <w:spacing w:line="600" w:lineRule="exact"/>
        <w:ind w:firstLine="640" w:firstLineChars="200"/>
        <w:rPr>
          <w:rFonts w:ascii="黑体" w:hAnsi="黑体" w:eastAsia="黑体" w:cs="黑体"/>
          <w:color w:val="000000"/>
          <w:sz w:val="32"/>
          <w:szCs w:val="32"/>
        </w:rPr>
      </w:pPr>
      <w:bookmarkStart w:id="28" w:name="_Toc28318"/>
      <w:r>
        <w:rPr>
          <w:rFonts w:hint="eastAsia" w:ascii="黑体" w:hAnsi="黑体" w:eastAsia="黑体" w:cs="黑体"/>
          <w:color w:val="000000"/>
          <w:sz w:val="32"/>
          <w:szCs w:val="32"/>
        </w:rPr>
        <w:t>十一、其他重要事项的情况说明</w:t>
      </w:r>
      <w:bookmarkEnd w:id="28"/>
    </w:p>
    <w:p>
      <w:pPr>
        <w:widowControl/>
        <w:shd w:val="clear" w:color="auto" w:fill="FFFFFF"/>
        <w:spacing w:line="440" w:lineRule="atLeast"/>
        <w:jc w:val="left"/>
        <w:rPr>
          <w:rFonts w:ascii="宋体" w:hAnsi="宋体" w:cs="宋体"/>
          <w:color w:val="333333"/>
          <w:kern w:val="0"/>
          <w:sz w:val="28"/>
          <w:szCs w:val="28"/>
        </w:rPr>
      </w:pPr>
      <w:r>
        <w:rPr>
          <w:rFonts w:hint="eastAsia" w:ascii="宋体" w:hAnsi="宋体" w:cs="宋体"/>
          <w:color w:val="333333"/>
          <w:kern w:val="0"/>
          <w:sz w:val="28"/>
          <w:szCs w:val="28"/>
        </w:rPr>
        <w:t>（一）机关运行经费支出情况</w:t>
      </w:r>
    </w:p>
    <w:p>
      <w:pPr>
        <w:widowControl/>
        <w:shd w:val="clear" w:color="auto" w:fill="FFFFFF"/>
        <w:spacing w:line="440" w:lineRule="atLeast"/>
        <w:ind w:firstLine="560" w:firstLineChars="200"/>
        <w:jc w:val="left"/>
        <w:rPr>
          <w:rFonts w:ascii="宋体" w:hAnsi="宋体" w:cs="宋体"/>
          <w:color w:val="333333"/>
          <w:kern w:val="0"/>
          <w:sz w:val="28"/>
          <w:szCs w:val="28"/>
        </w:rPr>
      </w:pPr>
      <w:r>
        <w:rPr>
          <w:rFonts w:hint="eastAsia" w:ascii="宋体" w:hAnsi="宋体" w:cs="宋体"/>
          <w:color w:val="333333"/>
          <w:kern w:val="0"/>
          <w:sz w:val="28"/>
          <w:szCs w:val="28"/>
        </w:rPr>
        <w:t>　　</w:t>
      </w:r>
      <w:r>
        <w:rPr>
          <w:rFonts w:hint="eastAsia" w:eastAsia="方正仿宋_GBK"/>
          <w:sz w:val="33"/>
          <w:szCs w:val="33"/>
        </w:rPr>
        <w:t>2021年度，镇裕镇机关运行经费支出165.31万元。　　</w:t>
      </w:r>
    </w:p>
    <w:p>
      <w:pPr>
        <w:widowControl/>
        <w:shd w:val="clear" w:color="auto" w:fill="FFFFFF"/>
        <w:spacing w:line="440" w:lineRule="atLeast"/>
        <w:jc w:val="left"/>
        <w:rPr>
          <w:rFonts w:ascii="宋体" w:hAnsi="宋体" w:cs="宋体"/>
          <w:color w:val="333333"/>
          <w:kern w:val="0"/>
          <w:sz w:val="28"/>
          <w:szCs w:val="28"/>
        </w:rPr>
      </w:pPr>
      <w:r>
        <w:rPr>
          <w:rFonts w:hint="eastAsia" w:ascii="宋体" w:hAnsi="宋体" w:cs="宋体"/>
          <w:color w:val="333333"/>
          <w:kern w:val="0"/>
          <w:sz w:val="28"/>
          <w:szCs w:val="28"/>
        </w:rPr>
        <w:t>（二）政府采购支出情况</w:t>
      </w:r>
    </w:p>
    <w:p>
      <w:pPr>
        <w:widowControl/>
        <w:shd w:val="clear" w:color="auto" w:fill="FFFFFF"/>
        <w:spacing w:line="440" w:lineRule="atLeast"/>
        <w:ind w:firstLine="560" w:firstLineChars="200"/>
        <w:jc w:val="left"/>
        <w:rPr>
          <w:rFonts w:ascii="宋体" w:hAnsi="宋体" w:cs="宋体"/>
          <w:color w:val="333333"/>
          <w:kern w:val="0"/>
          <w:sz w:val="28"/>
          <w:szCs w:val="28"/>
        </w:rPr>
      </w:pPr>
      <w:r>
        <w:rPr>
          <w:rFonts w:hint="eastAsia" w:ascii="宋体" w:hAnsi="宋体" w:cs="宋体"/>
          <w:color w:val="333333"/>
          <w:kern w:val="0"/>
          <w:sz w:val="28"/>
          <w:szCs w:val="28"/>
        </w:rPr>
        <w:t>　</w:t>
      </w:r>
      <w:r>
        <w:rPr>
          <w:rFonts w:hint="eastAsia" w:eastAsia="方正仿宋_GBK"/>
          <w:sz w:val="33"/>
          <w:szCs w:val="33"/>
        </w:rPr>
        <w:t>2021年度，政府采购预算0万元，政府采购支出总额0万元，其中：政府采购货物支出0万元、政府采购工程支出0万元、政府采购服务支出0万元。　</w:t>
      </w:r>
    </w:p>
    <w:p>
      <w:pPr>
        <w:autoSpaceDE w:val="0"/>
        <w:autoSpaceDN w:val="0"/>
        <w:adjustRightInd w:val="0"/>
        <w:spacing w:line="600" w:lineRule="exact"/>
        <w:ind w:firstLine="642" w:firstLineChars="200"/>
        <w:jc w:val="left"/>
        <w:outlineLvl w:val="2"/>
        <w:rPr>
          <w:rFonts w:ascii="仿宋" w:hAnsi="仿宋" w:eastAsia="仿宋"/>
          <w:b/>
          <w:sz w:val="32"/>
          <w:szCs w:val="32"/>
          <w:highlight w:val="none"/>
        </w:rPr>
      </w:pPr>
      <w:bookmarkStart w:id="29" w:name="_Toc15377224"/>
      <w:r>
        <w:rPr>
          <w:rFonts w:hint="eastAsia" w:ascii="仿宋" w:hAnsi="仿宋" w:eastAsia="仿宋"/>
          <w:b/>
          <w:sz w:val="32"/>
          <w:szCs w:val="32"/>
          <w:highlight w:val="none"/>
        </w:rPr>
        <w:t>（三）国有资产占有使用情况</w:t>
      </w:r>
      <w:bookmarkEnd w:id="29"/>
    </w:p>
    <w:p>
      <w:pPr>
        <w:spacing w:line="600" w:lineRule="exact"/>
        <w:rPr>
          <w:rFonts w:hint="eastAsia" w:ascii="仿宋_GB2312" w:eastAsia="仿宋_GB2312"/>
          <w:sz w:val="32"/>
          <w:szCs w:val="32"/>
          <w:highlight w:val="none"/>
        </w:rPr>
      </w:pPr>
      <w:r>
        <w:rPr>
          <w:rFonts w:hint="eastAsia" w:ascii="仿宋_GB2312" w:eastAsia="仿宋_GB2312"/>
          <w:sz w:val="32"/>
          <w:szCs w:val="32"/>
          <w:highlight w:val="none"/>
        </w:rPr>
        <w:t>截至</w:t>
      </w:r>
      <w:r>
        <w:rPr>
          <w:rFonts w:ascii="仿宋_GB2312" w:eastAsia="仿宋_GB2312"/>
          <w:sz w:val="32"/>
          <w:szCs w:val="32"/>
          <w:highlight w:val="none"/>
        </w:rPr>
        <w:t>20</w:t>
      </w:r>
      <w:r>
        <w:rPr>
          <w:rFonts w:hint="eastAsia" w:ascii="仿宋_GB2312" w:eastAsia="仿宋_GB2312"/>
          <w:sz w:val="32"/>
          <w:szCs w:val="32"/>
          <w:highlight w:val="none"/>
        </w:rPr>
        <w:t>21年</w:t>
      </w:r>
      <w:r>
        <w:rPr>
          <w:rFonts w:ascii="仿宋_GB2312" w:eastAsia="仿宋_GB2312"/>
          <w:sz w:val="32"/>
          <w:szCs w:val="32"/>
          <w:highlight w:val="none"/>
        </w:rPr>
        <w:t>12</w:t>
      </w:r>
      <w:r>
        <w:rPr>
          <w:rFonts w:hint="eastAsia" w:ascii="仿宋_GB2312" w:eastAsia="仿宋_GB2312"/>
          <w:sz w:val="32"/>
          <w:szCs w:val="32"/>
          <w:highlight w:val="none"/>
        </w:rPr>
        <w:t>月</w:t>
      </w:r>
      <w:r>
        <w:rPr>
          <w:rFonts w:ascii="仿宋_GB2312" w:eastAsia="仿宋_GB2312"/>
          <w:sz w:val="32"/>
          <w:szCs w:val="32"/>
          <w:highlight w:val="none"/>
        </w:rPr>
        <w:t>31</w:t>
      </w:r>
      <w:r>
        <w:rPr>
          <w:rFonts w:hint="eastAsia" w:ascii="仿宋_GB2312" w:eastAsia="仿宋_GB2312"/>
          <w:sz w:val="32"/>
          <w:szCs w:val="32"/>
          <w:highlight w:val="none"/>
        </w:rPr>
        <w:t>日，</w:t>
      </w:r>
      <w:r>
        <w:rPr>
          <w:rFonts w:hint="eastAsia" w:ascii="仿宋_GB2312" w:eastAsia="仿宋_GB2312"/>
          <w:sz w:val="32"/>
          <w:szCs w:val="32"/>
          <w:highlight w:val="none"/>
          <w:lang w:val="en-US" w:eastAsia="zh-CN"/>
        </w:rPr>
        <w:t>镇裕镇</w:t>
      </w:r>
      <w:r>
        <w:rPr>
          <w:rFonts w:hint="eastAsia" w:ascii="仿宋_GB2312" w:eastAsia="仿宋_GB2312"/>
          <w:sz w:val="32"/>
          <w:szCs w:val="32"/>
          <w:highlight w:val="none"/>
        </w:rPr>
        <w:t>共有车辆0辆，其中：主要领导干部用车0辆、机要通信用车0辆、应急保障用车0辆、其他用车0辆，单价</w:t>
      </w:r>
      <w:r>
        <w:rPr>
          <w:rFonts w:ascii="仿宋_GB2312" w:eastAsia="仿宋_GB2312"/>
          <w:sz w:val="32"/>
          <w:szCs w:val="32"/>
          <w:highlight w:val="none"/>
        </w:rPr>
        <w:t>50</w:t>
      </w:r>
      <w:r>
        <w:rPr>
          <w:rFonts w:hint="eastAsia" w:ascii="仿宋_GB2312" w:eastAsia="仿宋_GB2312"/>
          <w:sz w:val="32"/>
          <w:szCs w:val="32"/>
          <w:highlight w:val="none"/>
        </w:rPr>
        <w:t>万元以上通用设备0台（套），单价</w:t>
      </w:r>
      <w:r>
        <w:rPr>
          <w:rFonts w:ascii="仿宋_GB2312" w:eastAsia="仿宋_GB2312"/>
          <w:sz w:val="32"/>
          <w:szCs w:val="32"/>
          <w:highlight w:val="none"/>
        </w:rPr>
        <w:t>100</w:t>
      </w:r>
      <w:r>
        <w:rPr>
          <w:rFonts w:hint="eastAsia" w:ascii="仿宋_GB2312" w:eastAsia="仿宋_GB2312"/>
          <w:sz w:val="32"/>
          <w:szCs w:val="32"/>
          <w:highlight w:val="none"/>
        </w:rPr>
        <w:t>万元以上专用设备0台（套）。</w:t>
      </w:r>
    </w:p>
    <w:p>
      <w:pPr>
        <w:spacing w:line="600" w:lineRule="exact"/>
        <w:rPr>
          <w:rFonts w:ascii="黑体" w:hAnsi="黑体" w:eastAsia="黑体" w:cs="黑体"/>
          <w:color w:val="000000"/>
          <w:sz w:val="32"/>
          <w:szCs w:val="32"/>
          <w:highlight w:val="none"/>
        </w:rPr>
      </w:pPr>
      <w:r>
        <w:rPr>
          <w:rFonts w:hint="eastAsia" w:ascii="宋体" w:hAnsi="宋体" w:cs="宋体"/>
          <w:color w:val="333333"/>
          <w:kern w:val="0"/>
          <w:sz w:val="28"/>
          <w:szCs w:val="28"/>
          <w:highlight w:val="none"/>
        </w:rPr>
        <w:t>（四）预算绩效情况说明</w:t>
      </w:r>
    </w:p>
    <w:p>
      <w:pPr>
        <w:spacing w:line="580" w:lineRule="exact"/>
        <w:ind w:firstLine="660" w:firstLineChars="200"/>
        <w:rPr>
          <w:rFonts w:eastAsia="方正仿宋_GBK"/>
          <w:sz w:val="33"/>
          <w:szCs w:val="33"/>
        </w:rPr>
      </w:pPr>
      <w:r>
        <w:rPr>
          <w:rFonts w:hint="eastAsia" w:eastAsia="方正仿宋_GBK"/>
          <w:sz w:val="33"/>
          <w:szCs w:val="33"/>
        </w:rPr>
        <w:t>根据预算绩效管理要求，本单位在年初预算编制阶段，组织对项目开展了预算事前绩效评估，对项目编制了绩效目标，预算执行过程中，对项目开展绩效监控，年终执行完毕后，对项目开展了绩效目标完成情况梳理填报。</w:t>
      </w:r>
    </w:p>
    <w:p>
      <w:pPr>
        <w:ind w:firstLine="660" w:firstLineChars="200"/>
        <w:rPr>
          <w:rFonts w:hint="eastAsia" w:eastAsia="方正仿宋_GBK"/>
          <w:sz w:val="33"/>
          <w:szCs w:val="33"/>
        </w:rPr>
      </w:pPr>
      <w:r>
        <w:rPr>
          <w:rFonts w:hint="eastAsia" w:eastAsia="方正仿宋_GBK"/>
          <w:sz w:val="33"/>
          <w:szCs w:val="33"/>
        </w:rPr>
        <w:t>本单位按要求对2021年部门整体支出开展绩效自评，从评价情况来看，我镇在财务管理上取得了不少成绩,一是及时发放涉农资金,确保人民及时分享社会主义建设成果，感受党委政府的关怀;二是及时进行财产物资清理,确保国有资产的安全完整;三是强化“一事一议”财政奖补项目的监管，保证质量，让老百姓切实感受到真正为人民办实事办好事。</w:t>
      </w:r>
    </w:p>
    <w:p>
      <w:pPr>
        <w:spacing w:line="360" w:lineRule="auto"/>
        <w:ind w:firstLine="642" w:firstLineChars="200"/>
        <w:rPr>
          <w:rFonts w:ascii="仿宋" w:hAnsi="仿宋" w:eastAsia="仿宋" w:cs="仿宋"/>
          <w:b/>
          <w:bCs/>
          <w:sz w:val="32"/>
          <w:szCs w:val="32"/>
        </w:rPr>
      </w:pPr>
      <w:r>
        <w:rPr>
          <w:rFonts w:hint="eastAsia" w:ascii="仿宋" w:hAnsi="仿宋" w:eastAsia="仿宋" w:cs="仿宋"/>
          <w:b/>
          <w:bCs/>
          <w:sz w:val="32"/>
          <w:szCs w:val="32"/>
        </w:rPr>
        <w:t>1.项目绩效目标完成情况。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本部门在2021年度部门决算中反映“岳池县镇裕镇大田湾村水环境治理项目”等3个项目绩效目标实际完成情况。</w:t>
      </w:r>
    </w:p>
    <w:p>
      <w:pPr>
        <w:numPr>
          <w:ilvl w:val="0"/>
          <w:numId w:val="3"/>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岳池县镇裕镇大田湾项目绩效目标完成情况综述。项目全年预算11万元，执行数为11万元，完成预算的100%。通过项目实施，</w:t>
      </w:r>
      <w:r>
        <w:rPr>
          <w:rFonts w:hint="eastAsia" w:ascii="仿宋" w:hAnsi="仿宋" w:eastAsia="仿宋" w:cs="仿宋"/>
          <w:sz w:val="32"/>
          <w:szCs w:val="32"/>
          <w:lang w:val="zh-CN"/>
        </w:rPr>
        <w:t>推进基础设施建设，为进一步改善</w:t>
      </w:r>
      <w:r>
        <w:rPr>
          <w:rFonts w:hint="eastAsia" w:ascii="仿宋" w:hAnsi="仿宋" w:eastAsia="仿宋" w:cs="仿宋"/>
          <w:sz w:val="32"/>
          <w:szCs w:val="32"/>
        </w:rPr>
        <w:t>岳池县饮水环境治理</w:t>
      </w:r>
      <w:r>
        <w:rPr>
          <w:rFonts w:hint="eastAsia" w:ascii="仿宋" w:hAnsi="仿宋" w:eastAsia="仿宋" w:cs="仿宋"/>
          <w:sz w:val="32"/>
          <w:szCs w:val="32"/>
          <w:lang w:val="zh-CN"/>
        </w:rPr>
        <w:t>。</w:t>
      </w:r>
      <w:r>
        <w:rPr>
          <w:rFonts w:hint="eastAsia" w:ascii="仿宋" w:hAnsi="仿宋" w:eastAsia="仿宋" w:cs="仿宋"/>
          <w:sz w:val="32"/>
          <w:szCs w:val="32"/>
        </w:rPr>
        <w:t>发现的主要问题：无。下一步改进措施：无。</w:t>
      </w:r>
    </w:p>
    <w:p>
      <w:pPr>
        <w:adjustRightInd w:val="0"/>
        <w:snapToGrid w:val="0"/>
        <w:spacing w:line="360" w:lineRule="auto"/>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w:t>
      </w:r>
      <w:r>
        <w:rPr>
          <w:rFonts w:hint="eastAsia" w:ascii="仿宋" w:hAnsi="仿宋" w:eastAsia="仿宋" w:cs="仿宋"/>
          <w:sz w:val="32"/>
          <w:szCs w:val="32"/>
        </w:rPr>
        <w:t>2021年镇裕镇疫情防控项目绩效目标完成情况综述。项目全年预算5.8万元，执行数为5.8万元，完成预算的100%。通过项目实施，</w:t>
      </w:r>
      <w:r>
        <w:rPr>
          <w:rFonts w:hint="eastAsia" w:ascii="仿宋" w:hAnsi="仿宋" w:eastAsia="仿宋" w:cs="仿宋"/>
          <w:sz w:val="32"/>
          <w:szCs w:val="32"/>
          <w:lang w:val="zh-CN"/>
        </w:rPr>
        <w:t>为进一步加强疫情防控力度，达到了预期的社会效益，受益群众满意度好。</w:t>
      </w:r>
      <w:r>
        <w:rPr>
          <w:rFonts w:hint="eastAsia" w:ascii="仿宋" w:hAnsi="仿宋" w:eastAsia="仿宋" w:cs="仿宋"/>
          <w:sz w:val="32"/>
          <w:szCs w:val="32"/>
        </w:rPr>
        <w:t>发现的主要问题：无。下一步改进措施：无。</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（3）顾县镇歹村地质灾害治理建设项目绩效目标完成情况综述。项目全年预算15.5万元，执行数为15.5万元，完成预算的100%。通过项目实施，</w:t>
      </w:r>
      <w:r>
        <w:rPr>
          <w:rFonts w:hint="eastAsia" w:ascii="仿宋" w:hAnsi="仿宋" w:eastAsia="仿宋" w:cs="仿宋"/>
          <w:sz w:val="32"/>
          <w:szCs w:val="32"/>
          <w:lang w:val="zh-CN"/>
        </w:rPr>
        <w:t>推进基础设施建设，</w:t>
      </w:r>
      <w:r>
        <w:rPr>
          <w:rFonts w:hint="eastAsia" w:ascii="仿宋" w:hAnsi="仿宋" w:eastAsia="仿宋" w:cs="仿宋"/>
          <w:sz w:val="32"/>
          <w:szCs w:val="32"/>
        </w:rPr>
        <w:t>地质灾害治理有力推动乡村振兴产业化发展，在繁荣村集体经济和促进农民增收等方面发挥重要作用。发现的主要问题：无。下一步改进措施：无。</w:t>
      </w:r>
    </w:p>
    <w:p>
      <w:pPr>
        <w:pStyle w:val="2"/>
        <w:spacing w:before="93"/>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tcMar>
              <w:top w:w="15" w:type="dxa"/>
              <w:left w:w="15" w:type="dxa"/>
              <w:right w:w="15" w:type="dxa"/>
            </w:tcMar>
            <w:vAlign w:val="center"/>
          </w:tcPr>
          <w:p>
            <w:pPr>
              <w:widowControl/>
              <w:spacing w:line="360" w:lineRule="auto"/>
              <w:ind w:firstLine="963" w:firstLineChars="300"/>
              <w:jc w:val="center"/>
              <w:textAlignment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项目绩效目标完成情况表</w:t>
            </w:r>
          </w:p>
          <w:p>
            <w:pPr>
              <w:widowControl/>
              <w:spacing w:line="360" w:lineRule="auto"/>
              <w:ind w:firstLine="960" w:firstLineChars="300"/>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(2021年度)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rPr>
              <w:t>岳池县镇裕镇大田湾村水环境治理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镇裕镇镇人民政府</w:t>
            </w:r>
          </w:p>
        </w:tc>
      </w:tr>
      <w:tr>
        <w:tblPrEx>
          <w:tblCellMar>
            <w:top w:w="0" w:type="dxa"/>
            <w:left w:w="0" w:type="dxa"/>
            <w:bottom w:w="0" w:type="dxa"/>
            <w:right w:w="0" w:type="dxa"/>
          </w:tblCellMar>
        </w:tblPrEx>
        <w:trPr>
          <w:trHeight w:val="66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11.00万元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11.00万元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11.00万元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11.00万元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完成大田湾水源保护区环境治理</w:t>
            </w:r>
          </w:p>
          <w:p>
            <w:pPr>
              <w:widowControl/>
              <w:spacing w:line="360" w:lineRule="auto"/>
              <w:jc w:val="center"/>
              <w:textAlignment w:val="center"/>
              <w:rPr>
                <w:rFonts w:ascii="仿宋" w:hAnsi="仿宋" w:eastAsia="仿宋" w:cs="仿宋"/>
                <w:color w:val="000000"/>
                <w:sz w:val="32"/>
                <w:szCs w:val="32"/>
              </w:rPr>
            </w:pP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完成了大田湾水源保护区环境治理。</w:t>
            </w:r>
          </w:p>
          <w:p>
            <w:pPr>
              <w:pStyle w:val="6"/>
              <w:spacing w:line="360" w:lineRule="auto"/>
              <w:ind w:firstLine="640" w:firstLineChars="200"/>
              <w:rPr>
                <w:rFonts w:ascii="仿宋" w:hAnsi="仿宋" w:eastAsia="仿宋" w:cs="仿宋"/>
                <w:sz w:val="32"/>
                <w:szCs w:val="32"/>
              </w:rPr>
            </w:pPr>
          </w:p>
          <w:p>
            <w:pPr>
              <w:widowControl/>
              <w:spacing w:line="360" w:lineRule="auto"/>
              <w:jc w:val="center"/>
              <w:textAlignment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完成大田湾水源保护区环境治理</w:t>
            </w:r>
          </w:p>
          <w:p>
            <w:pPr>
              <w:widowControl/>
              <w:spacing w:line="360" w:lineRule="auto"/>
              <w:jc w:val="center"/>
              <w:textAlignment w:val="center"/>
              <w:rPr>
                <w:rFonts w:ascii="仿宋" w:hAnsi="仿宋" w:eastAsia="仿宋" w:cs="仿宋"/>
                <w:color w:val="000000"/>
                <w:sz w:val="32"/>
                <w:szCs w:val="32"/>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完成大田湾水源保护区环境治理。</w:t>
            </w:r>
          </w:p>
          <w:p>
            <w:pPr>
              <w:widowControl/>
              <w:spacing w:line="360" w:lineRule="auto"/>
              <w:jc w:val="center"/>
              <w:textAlignment w:val="center"/>
              <w:rPr>
                <w:rFonts w:ascii="仿宋" w:hAnsi="仿宋" w:eastAsia="仿宋" w:cs="仿宋"/>
                <w:color w:val="000000"/>
                <w:sz w:val="32"/>
                <w:szCs w:val="32"/>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完成大田湾水源保护区环境治理。</w:t>
            </w:r>
          </w:p>
          <w:p>
            <w:pPr>
              <w:widowControl/>
              <w:spacing w:line="360" w:lineRule="auto"/>
              <w:jc w:val="center"/>
              <w:textAlignment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ascii="仿宋" w:hAnsi="仿宋" w:eastAsia="仿宋" w:cs="仿宋"/>
                <w:color w:val="000000"/>
                <w:kern w:val="0"/>
                <w:sz w:val="32"/>
                <w:szCs w:val="32"/>
              </w:rPr>
              <w:t>2021年12月31日前</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ascii="仿宋" w:hAnsi="仿宋" w:eastAsia="仿宋" w:cs="仿宋"/>
                <w:color w:val="000000"/>
                <w:kern w:val="0"/>
                <w:sz w:val="32"/>
                <w:szCs w:val="32"/>
              </w:rPr>
              <w:t>2021年12月31日前</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rPr>
                <w:rFonts w:ascii="仿宋" w:hAnsi="仿宋" w:eastAsia="仿宋" w:cs="仿宋"/>
                <w:sz w:val="32"/>
                <w:szCs w:val="32"/>
              </w:rPr>
            </w:pPr>
            <w:r>
              <w:rPr>
                <w:rFonts w:hint="eastAsia" w:ascii="仿宋" w:hAnsi="仿宋" w:eastAsia="仿宋" w:cs="仿宋"/>
                <w:sz w:val="32"/>
                <w:szCs w:val="32"/>
              </w:rPr>
              <w:t>大田湾水源保护区环境治理</w:t>
            </w:r>
            <w:r>
              <w:rPr>
                <w:rFonts w:hint="eastAsia" w:ascii="仿宋" w:hAnsi="仿宋" w:eastAsia="仿宋" w:cs="仿宋"/>
                <w:color w:val="000000"/>
                <w:sz w:val="32"/>
                <w:szCs w:val="32"/>
              </w:rPr>
              <w:t>经费</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ind w:firstLine="320" w:firstLineChars="100"/>
              <w:textAlignment w:val="center"/>
              <w:rPr>
                <w:rFonts w:ascii="仿宋" w:hAnsi="仿宋" w:eastAsia="仿宋" w:cs="仿宋"/>
                <w:color w:val="000000"/>
                <w:sz w:val="32"/>
                <w:szCs w:val="32"/>
              </w:rPr>
            </w:pPr>
            <w:r>
              <w:rPr>
                <w:rFonts w:hint="eastAsia" w:ascii="仿宋" w:hAnsi="仿宋" w:eastAsia="仿宋" w:cs="仿宋"/>
                <w:color w:val="000000"/>
                <w:sz w:val="32"/>
                <w:szCs w:val="32"/>
              </w:rPr>
              <w:t>11.00万元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11.00万元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解决了岳池饮</w:t>
            </w:r>
          </w:p>
          <w:p>
            <w:pPr>
              <w:widowControl/>
              <w:spacing w:line="360" w:lineRule="auto"/>
              <w:textAlignment w:val="center"/>
              <w:rPr>
                <w:rFonts w:ascii="仿宋" w:hAnsi="仿宋" w:eastAsia="仿宋" w:cs="仿宋"/>
                <w:color w:val="000000"/>
                <w:sz w:val="32"/>
                <w:szCs w:val="32"/>
              </w:rPr>
            </w:pPr>
            <w:r>
              <w:rPr>
                <w:rFonts w:hint="eastAsia" w:ascii="仿宋" w:hAnsi="仿宋" w:eastAsia="仿宋" w:cs="仿宋"/>
                <w:color w:val="000000"/>
                <w:sz w:val="32"/>
                <w:szCs w:val="32"/>
              </w:rPr>
              <w:t>健康问题</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解决了岳池饮</w:t>
            </w:r>
          </w:p>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健康问题</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解决了岳池饮</w:t>
            </w:r>
          </w:p>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健康问题</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岳池县人民</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好</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好</w:t>
            </w:r>
          </w:p>
        </w:tc>
      </w:tr>
    </w:tbl>
    <w:p>
      <w:pPr>
        <w:spacing w:line="360" w:lineRule="auto"/>
        <w:rPr>
          <w:rFonts w:ascii="仿宋" w:hAnsi="仿宋" w:eastAsia="仿宋" w:cs="仿宋"/>
          <w:sz w:val="32"/>
          <w:szCs w:val="32"/>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tcMar>
              <w:top w:w="15" w:type="dxa"/>
              <w:left w:w="15" w:type="dxa"/>
              <w:right w:w="15" w:type="dxa"/>
            </w:tcMar>
            <w:vAlign w:val="center"/>
          </w:tcPr>
          <w:p>
            <w:pPr>
              <w:widowControl/>
              <w:spacing w:line="360" w:lineRule="auto"/>
              <w:ind w:firstLine="963" w:firstLineChars="300"/>
              <w:jc w:val="center"/>
              <w:textAlignment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项目绩效目标完成情况表</w:t>
            </w:r>
          </w:p>
          <w:p>
            <w:pPr>
              <w:widowControl/>
              <w:spacing w:line="360" w:lineRule="auto"/>
              <w:ind w:firstLine="960" w:firstLineChars="300"/>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(2021年度)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rPr>
              <w:t>2021年镇裕镇疫情防控项目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镇裕镇人民政府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5.8万元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5.8万元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5.8万元</w:t>
            </w:r>
          </w:p>
        </w:tc>
      </w:tr>
      <w:tr>
        <w:tblPrEx>
          <w:tblCellMar>
            <w:top w:w="0" w:type="dxa"/>
            <w:left w:w="0" w:type="dxa"/>
            <w:bottom w:w="0" w:type="dxa"/>
            <w:right w:w="0" w:type="dxa"/>
          </w:tblCellMar>
        </w:tblPrEx>
        <w:trPr>
          <w:trHeight w:val="463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lang w:val="zh-CN"/>
              </w:rPr>
              <w:t>加强疫情防控力度</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zh-CN"/>
              </w:rPr>
              <w:t>加强了疫情防控力度</w:t>
            </w:r>
          </w:p>
          <w:p>
            <w:pPr>
              <w:widowControl/>
              <w:spacing w:line="360" w:lineRule="auto"/>
              <w:jc w:val="center"/>
              <w:textAlignment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lang w:val="zh-CN"/>
              </w:rPr>
              <w:t>加强疫情防控力度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lang w:val="zh-CN"/>
              </w:rPr>
              <w:t>加强疫情防控力度</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lang w:val="zh-CN"/>
              </w:rPr>
              <w:t>加强疫情防控力度</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ascii="仿宋" w:hAnsi="仿宋" w:eastAsia="仿宋" w:cs="仿宋"/>
                <w:color w:val="000000"/>
                <w:kern w:val="0"/>
                <w:sz w:val="32"/>
                <w:szCs w:val="32"/>
              </w:rPr>
              <w:t>2021年12月31日前</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ascii="仿宋" w:hAnsi="仿宋" w:eastAsia="仿宋" w:cs="仿宋"/>
                <w:color w:val="000000"/>
                <w:kern w:val="0"/>
                <w:sz w:val="32"/>
                <w:szCs w:val="32"/>
              </w:rPr>
              <w:t>2021年12月31日前</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rPr>
              <w:t>2021年镇裕镇疫情防控经费</w:t>
            </w:r>
            <w:r>
              <w:rPr>
                <w:rFonts w:hint="eastAsia" w:ascii="仿宋" w:hAnsi="仿宋" w:eastAsia="仿宋" w:cs="仿宋"/>
                <w:color w:val="000000"/>
                <w:sz w:val="32"/>
                <w:szCs w:val="32"/>
              </w:rPr>
              <w:t>经费</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ind w:firstLine="320" w:firstLineChars="100"/>
              <w:textAlignment w:val="center"/>
              <w:rPr>
                <w:rFonts w:ascii="仿宋" w:hAnsi="仿宋" w:eastAsia="仿宋" w:cs="仿宋"/>
                <w:color w:val="000000"/>
                <w:sz w:val="32"/>
                <w:szCs w:val="32"/>
              </w:rPr>
            </w:pPr>
            <w:r>
              <w:rPr>
                <w:rFonts w:hint="eastAsia" w:ascii="仿宋" w:hAnsi="仿宋" w:eastAsia="仿宋" w:cs="仿宋"/>
                <w:color w:val="000000"/>
                <w:sz w:val="32"/>
                <w:szCs w:val="32"/>
              </w:rPr>
              <w:t>5.8万元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5.8万元</w:t>
            </w:r>
          </w:p>
        </w:tc>
      </w:tr>
      <w:tr>
        <w:tblPrEx>
          <w:tblCellMar>
            <w:top w:w="0" w:type="dxa"/>
            <w:left w:w="0" w:type="dxa"/>
            <w:bottom w:w="0" w:type="dxa"/>
            <w:right w:w="0" w:type="dxa"/>
          </w:tblCellMar>
        </w:tblPrEx>
        <w:trPr>
          <w:trHeight w:val="1168"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sz w:val="32"/>
                <w:szCs w:val="32"/>
              </w:rPr>
            </w:pPr>
            <w:r>
              <w:rPr>
                <w:rFonts w:hint="eastAsia" w:ascii="仿宋" w:hAnsi="仿宋" w:eastAsia="仿宋" w:cs="仿宋"/>
                <w:sz w:val="32"/>
                <w:szCs w:val="32"/>
                <w:lang w:val="zh-CN"/>
              </w:rPr>
              <w:t>加强了疫情防控力度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sz w:val="32"/>
                <w:szCs w:val="32"/>
              </w:rPr>
            </w:pPr>
            <w:r>
              <w:rPr>
                <w:rFonts w:hint="eastAsia" w:ascii="仿宋" w:hAnsi="仿宋" w:eastAsia="仿宋" w:cs="仿宋"/>
                <w:sz w:val="32"/>
                <w:szCs w:val="32"/>
                <w:lang w:val="zh-CN"/>
              </w:rPr>
              <w:t>加强了疫情防控力度</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sz w:val="32"/>
                <w:szCs w:val="32"/>
              </w:rPr>
            </w:pPr>
            <w:r>
              <w:rPr>
                <w:rFonts w:hint="eastAsia" w:ascii="仿宋" w:hAnsi="仿宋" w:eastAsia="仿宋" w:cs="仿宋"/>
                <w:sz w:val="32"/>
                <w:szCs w:val="32"/>
                <w:lang w:val="zh-CN"/>
              </w:rPr>
              <w:t>加强了疫情防控力度</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受益群众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好</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好</w:t>
            </w:r>
          </w:p>
        </w:tc>
      </w:tr>
    </w:tbl>
    <w:p>
      <w:pPr>
        <w:rPr>
          <w:sz w:val="32"/>
          <w:szCs w:val="32"/>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tcMar>
              <w:top w:w="15" w:type="dxa"/>
              <w:left w:w="15" w:type="dxa"/>
              <w:right w:w="15" w:type="dxa"/>
            </w:tcMar>
            <w:vAlign w:val="center"/>
          </w:tcPr>
          <w:p>
            <w:pPr>
              <w:widowControl/>
              <w:spacing w:line="360" w:lineRule="auto"/>
              <w:ind w:firstLine="963" w:firstLineChars="300"/>
              <w:jc w:val="center"/>
              <w:textAlignment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项目绩效目标完成情况表</w:t>
            </w:r>
          </w:p>
          <w:p>
            <w:pPr>
              <w:widowControl/>
              <w:spacing w:line="360" w:lineRule="auto"/>
              <w:ind w:firstLine="960" w:firstLineChars="300"/>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(2021年度)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rPr>
              <w:t>镇裕镇歹溪村地质灾害治理建设项目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镇裕镇人民政府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15.5万元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15.5万元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15.5万元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15.5万元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仿宋" w:hAnsi="仿宋" w:eastAsia="仿宋" w:cs="仿宋"/>
                <w:color w:val="000000"/>
                <w:sz w:val="32"/>
                <w:szCs w:val="32"/>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完成镇裕镇歹溪村地质灾害治理。</w:t>
            </w:r>
          </w:p>
          <w:p>
            <w:pPr>
              <w:widowControl/>
              <w:spacing w:line="360" w:lineRule="auto"/>
              <w:jc w:val="center"/>
              <w:textAlignment w:val="center"/>
              <w:rPr>
                <w:rFonts w:ascii="仿宋" w:hAnsi="仿宋" w:eastAsia="仿宋" w:cs="仿宋"/>
                <w:color w:val="000000"/>
                <w:sz w:val="32"/>
                <w:szCs w:val="32"/>
              </w:rPr>
            </w:pP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完成了镇裕镇歹溪村地质灾害治理。</w:t>
            </w:r>
          </w:p>
          <w:p>
            <w:pPr>
              <w:pStyle w:val="6"/>
              <w:spacing w:line="360" w:lineRule="auto"/>
              <w:rPr>
                <w:rFonts w:ascii="仿宋" w:hAnsi="仿宋" w:eastAsia="仿宋" w:cs="仿宋"/>
                <w:sz w:val="32"/>
                <w:szCs w:val="32"/>
              </w:rPr>
            </w:pPr>
          </w:p>
          <w:p>
            <w:pPr>
              <w:pStyle w:val="6"/>
              <w:spacing w:line="360" w:lineRule="auto"/>
              <w:ind w:firstLine="640" w:firstLineChars="200"/>
              <w:rPr>
                <w:rFonts w:ascii="仿宋" w:hAnsi="仿宋" w:eastAsia="仿宋" w:cs="仿宋"/>
                <w:sz w:val="32"/>
                <w:szCs w:val="32"/>
              </w:rPr>
            </w:pPr>
          </w:p>
          <w:p>
            <w:pPr>
              <w:widowControl/>
              <w:spacing w:line="360" w:lineRule="auto"/>
              <w:jc w:val="center"/>
              <w:textAlignment w:val="center"/>
              <w:rPr>
                <w:rFonts w:ascii="仿宋" w:hAnsi="仿宋" w:eastAsia="仿宋" w:cs="仿宋"/>
                <w:color w:val="000000"/>
                <w:sz w:val="32"/>
                <w:szCs w:val="32"/>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镇裕镇歹溪村地质灾害治理。</w:t>
            </w:r>
          </w:p>
          <w:p>
            <w:pPr>
              <w:widowControl/>
              <w:spacing w:line="360" w:lineRule="auto"/>
              <w:textAlignment w:val="center"/>
              <w:rPr>
                <w:rFonts w:ascii="仿宋" w:hAnsi="仿宋" w:eastAsia="仿宋" w:cs="仿宋"/>
                <w:color w:val="000000"/>
                <w:sz w:val="32"/>
                <w:szCs w:val="32"/>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完成镇裕镇歹溪村地质灾害治理。</w:t>
            </w:r>
          </w:p>
          <w:p>
            <w:pPr>
              <w:widowControl/>
              <w:spacing w:line="360" w:lineRule="auto"/>
              <w:jc w:val="center"/>
              <w:textAlignment w:val="center"/>
              <w:rPr>
                <w:rFonts w:ascii="仿宋" w:hAnsi="仿宋" w:eastAsia="仿宋" w:cs="仿宋"/>
                <w:color w:val="000000"/>
                <w:sz w:val="32"/>
                <w:szCs w:val="32"/>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完成镇裕镇歹溪村地质灾害治理。</w:t>
            </w:r>
          </w:p>
          <w:p>
            <w:pPr>
              <w:pStyle w:val="6"/>
              <w:spacing w:line="360" w:lineRule="auto"/>
              <w:rPr>
                <w:rFonts w:ascii="仿宋" w:hAnsi="仿宋" w:eastAsia="仿宋" w:cs="仿宋"/>
                <w:color w:val="000000"/>
                <w:sz w:val="32"/>
                <w:szCs w:val="32"/>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ascii="仿宋" w:hAnsi="仿宋" w:eastAsia="仿宋" w:cs="仿宋"/>
                <w:color w:val="000000"/>
                <w:kern w:val="0"/>
                <w:sz w:val="32"/>
                <w:szCs w:val="32"/>
              </w:rPr>
              <w:t>2021年12月31日前</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ascii="仿宋" w:hAnsi="仿宋" w:eastAsia="仿宋" w:cs="仿宋"/>
                <w:color w:val="000000"/>
                <w:kern w:val="0"/>
                <w:sz w:val="32"/>
                <w:szCs w:val="32"/>
              </w:rPr>
              <w:t>2021年12月31日前</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sz w:val="32"/>
                <w:szCs w:val="32"/>
              </w:rPr>
              <w:t>镇裕镇歹溪村地质灾害治理建设项目</w:t>
            </w:r>
            <w:r>
              <w:rPr>
                <w:rFonts w:hint="eastAsia" w:ascii="仿宋" w:hAnsi="仿宋" w:eastAsia="仿宋" w:cs="仿宋"/>
                <w:color w:val="000000"/>
                <w:sz w:val="32"/>
                <w:szCs w:val="32"/>
              </w:rPr>
              <w:t>经费</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ind w:firstLine="320" w:firstLineChars="100"/>
              <w:textAlignment w:val="center"/>
              <w:rPr>
                <w:rFonts w:ascii="仿宋" w:hAnsi="仿宋" w:eastAsia="仿宋" w:cs="仿宋"/>
                <w:color w:val="000000"/>
                <w:sz w:val="32"/>
                <w:szCs w:val="32"/>
              </w:rPr>
            </w:pPr>
            <w:r>
              <w:rPr>
                <w:rFonts w:hint="eastAsia" w:ascii="仿宋" w:hAnsi="仿宋" w:eastAsia="仿宋" w:cs="仿宋"/>
                <w:color w:val="000000"/>
                <w:sz w:val="32"/>
                <w:szCs w:val="32"/>
              </w:rPr>
              <w:t>15.5万元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15.5万元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解决群众出行</w:t>
            </w:r>
          </w:p>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问题</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解决群众出行</w:t>
            </w:r>
          </w:p>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问题</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解决群众出行</w:t>
            </w:r>
          </w:p>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问题</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受益群众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好</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好</w:t>
            </w:r>
          </w:p>
        </w:tc>
      </w:tr>
    </w:tbl>
    <w:p>
      <w:pPr>
        <w:rPr>
          <w:rFonts w:ascii="仿宋" w:hAnsi="仿宋" w:eastAsia="仿宋" w:cs="仿宋"/>
          <w:sz w:val="32"/>
          <w:szCs w:val="32"/>
        </w:rPr>
      </w:pPr>
    </w:p>
    <w:p>
      <w:pPr>
        <w:pStyle w:val="6"/>
      </w:pPr>
    </w:p>
    <w:p>
      <w:pPr>
        <w:spacing w:line="580" w:lineRule="exact"/>
        <w:rPr>
          <w:rFonts w:ascii="宋体" w:hAnsi="宋体" w:cs="宋体"/>
          <w:sz w:val="32"/>
          <w:szCs w:val="32"/>
        </w:rPr>
      </w:pPr>
    </w:p>
    <w:p>
      <w:pPr>
        <w:spacing w:line="580" w:lineRule="exact"/>
        <w:ind w:firstLine="640" w:firstLineChars="200"/>
        <w:rPr>
          <w:rFonts w:ascii="宋体" w:hAnsi="宋体" w:cs="宋体"/>
          <w:sz w:val="32"/>
          <w:szCs w:val="32"/>
        </w:rPr>
      </w:pPr>
      <w:r>
        <w:rPr>
          <w:rFonts w:hint="eastAsia" w:ascii="宋体" w:hAnsi="宋体" w:cs="宋体"/>
          <w:sz w:val="32"/>
          <w:szCs w:val="32"/>
        </w:rPr>
        <w:t>部门开展绩效评价结果。</w:t>
      </w:r>
    </w:p>
    <w:p>
      <w:pPr>
        <w:spacing w:line="580" w:lineRule="exact"/>
        <w:ind w:firstLine="660" w:firstLineChars="200"/>
        <w:rPr>
          <w:rFonts w:ascii="宋体" w:hAnsi="宋体" w:cs="宋体"/>
          <w:color w:val="333333"/>
          <w:kern w:val="0"/>
          <w:sz w:val="28"/>
          <w:szCs w:val="28"/>
        </w:rPr>
      </w:pPr>
      <w:r>
        <w:rPr>
          <w:rFonts w:hint="eastAsia" w:eastAsia="方正仿宋_GBK"/>
          <w:sz w:val="33"/>
          <w:szCs w:val="33"/>
        </w:rPr>
        <w:t>本部门按要求对2021年部门整体支出绩效评价情况开展自评，《镇裕镇2021年部门整体支出绩效评价报告》见附件。</w:t>
      </w:r>
    </w:p>
    <w:p>
      <w:pPr>
        <w:widowControl/>
        <w:shd w:val="clear" w:color="auto" w:fill="FFFFFF"/>
        <w:spacing w:line="440" w:lineRule="atLeast"/>
        <w:jc w:val="left"/>
        <w:rPr>
          <w:rFonts w:ascii="宋体" w:hAnsi="宋体" w:cs="宋体"/>
          <w:color w:val="333333"/>
          <w:kern w:val="0"/>
          <w:sz w:val="44"/>
          <w:szCs w:val="44"/>
          <w:shd w:val="clear" w:color="auto" w:fill="FFFFFF"/>
        </w:rPr>
      </w:pPr>
    </w:p>
    <w:p>
      <w:pPr>
        <w:jc w:val="center"/>
        <w:rPr>
          <w:rFonts w:ascii="黑体" w:hAnsi="黑体" w:eastAsia="黑体"/>
          <w:color w:val="000000"/>
          <w:sz w:val="48"/>
          <w:szCs w:val="48"/>
        </w:rPr>
      </w:pPr>
      <w:bookmarkStart w:id="30" w:name="_Toc16195"/>
      <w:r>
        <w:rPr>
          <w:rFonts w:hint="eastAsia" w:ascii="黑体" w:hAnsi="黑体" w:eastAsia="黑体"/>
          <w:color w:val="000000"/>
          <w:sz w:val="48"/>
          <w:szCs w:val="48"/>
        </w:rPr>
        <w:t>第三部分  名词解释</w:t>
      </w:r>
      <w:bookmarkEnd w:id="30"/>
    </w:p>
    <w:p>
      <w:pPr>
        <w:widowControl/>
        <w:shd w:val="clear" w:color="auto" w:fill="FFFFFF"/>
        <w:spacing w:line="440" w:lineRule="atLeast"/>
        <w:ind w:left="420" w:leftChars="200"/>
        <w:jc w:val="left"/>
        <w:rPr>
          <w:rFonts w:ascii="宋体" w:hAnsi="宋体" w:cs="宋体"/>
          <w:color w:val="333333"/>
          <w:kern w:val="0"/>
          <w:sz w:val="44"/>
          <w:szCs w:val="44"/>
          <w:shd w:val="clear" w:color="auto" w:fill="FFFFFF"/>
        </w:rPr>
      </w:pPr>
    </w:p>
    <w:p>
      <w:pPr>
        <w:widowControl/>
        <w:shd w:val="clear" w:color="auto" w:fill="FFFFFF"/>
        <w:spacing w:line="440" w:lineRule="atLeast"/>
        <w:ind w:left="420" w:leftChars="200"/>
        <w:jc w:val="left"/>
        <w:rPr>
          <w:rFonts w:ascii="宋体" w:hAnsi="宋体" w:cs="宋体"/>
          <w:color w:val="333333"/>
          <w:kern w:val="0"/>
          <w:sz w:val="44"/>
          <w:szCs w:val="44"/>
          <w:shd w:val="clear" w:color="auto" w:fill="FFFFFF"/>
        </w:rPr>
      </w:pP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1.财政拨款收入：指县级财政当年拨付的资金。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2.事业收入：指事业单位开展专业业务活动及辅助活动所取得的收入。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3.经营收入：指事业单位在专业业务活动及其辅助活动之外开展非独立核算经营活动取得的收入。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4.其他收入：指除上述“财政拨款收入”、“事业收入”、“经营收入”等以外的收入。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6.年初结转和结余：指以前年度尚未完成、结转到本年按有关规定继续使用的资金。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7.一般公共服务支出（类）人大事务（款）行政运行（项）：指反映行政单位（包括实行公务员管理的事业单位）的基本支出；一般公共服务支出（类）政府办公厅（室）及相关机构事务（款）行政运行（项）：指反映各级政府办公厅（室）及相关机构的支出；一般公共服务支出（类）党委办公厅（室）及相关机构事务（款）行政运行（项）：指反映党委办公厅（室）及相关机构的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8.文化体育与传媒支出（类）文化（款）行政运行（项）:指反映行政单位（包括实行公务员管理的事业单位）的基本支出。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9.社会保障和就业支出（类）人力资源和社会保障管理事务（款）行政运行（项）:指反映行政单位（包括实行公务员管理的事业单位）的基本支出；社会保障和就业支出（类）行政事业单位离退休（款）机关事业单位基本养老保险缴费支出（项）:指反映机关事业单位实施养老保险制度由单位缴纳的基本养老保险费支出；社会保障和就业支出（类）行政事业单位离退休（款）机关事业单位职业年金缴费支出（项）:指反映机关事业单位实施养老保险制度由单位实际缴纳的职业年金支出；社会保障和就业支出（类）抚恤（款）死亡抚恤（项）:指按规定用于烈士和牺牲、病故人员家属的一次性和定期抚恤金以及丧葬补助费；社会保障和就业支出（类）特困人员供养（款）农村五保供养支出（项）:指农村五保供养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10.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医疗卫生与计划生育支出（类）计划生育事务（款）计划生育机构（项）:反映卫生和计划生育部门所属计划生育机构的支出；医疗卫生与计划生育支出（类）计划生育事务（款）计划生育机构（项）:指反映计划生育服务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11.农林水支出（类）农业（款）行政运行（项）:指反映行政单位（包括实行公务员管理的事业单位）的基本支出；农林水支出（类）农业（款）事业运行（项）:指反映用于农业事业单位基本支出，事业单位设施、系统运行与资产维护等方面的支出；农林水支出（类）农业（款）对高校毕业生到基层任职补助（项）:指反映规定对高校毕业生到基层任职的补助支出；农林水支出（类）农村综合改革（款）对村级一事一议的补助（项）:指反映农村税费改革后对村级公益事业建设一事一议的补助支出；农林水支出（类）农村综合改革（款）对村民委员会和村党支部的补助（项）:指反映各级财政对村民委员会和村党支部的补助支出，以及支持建立县级基本财力保障机制安排的村级组织运转奖补资金；农林水支出（类）农村综合改革（款）农村综合改革示范试点补助（项）:指反映各级财政对农村综合改革示范试点、新型农业社会化服务体系建设等补助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12.住房保障支出（类）住房改革支出（款）住房公积金（项）：指反映行政事业单位按人力资源和社会保障部、财政部规定的基本工资和津贴补贴以及规定比例为职工缴纳的住房公积金。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13.结余分配：指事业单位按规定提取的职工福利基金、事业基金和缴纳的所得税，以及建设单位按规定应交回的基本建设竣工项目结余资金。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14.年末结转和结余：指本年度或以前年度预算安排、因客观条件发生变化无法按原计划实施，需延迟到以后年度按有关规定继续使用的资金。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15.基本支出：指为保障机构正常运转、完成日常工作任务而发生的人员支出和公用支出。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16.项目支出：指在基本支出之外为完成特定行政任务和事业发展目标所发生的支出。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17.经营支出：指事业单位在专业业务活动及其辅助活动之外开展非独立核算经营活动发生的支出。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18.“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 xml:space="preserve">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spacing w:line="440" w:lineRule="atLeast"/>
        <w:rPr>
          <w:rFonts w:ascii="宋体" w:hAnsi="宋体" w:cs="宋体"/>
          <w:color w:val="000000"/>
          <w:kern w:val="0"/>
          <w:sz w:val="28"/>
          <w:szCs w:val="28"/>
          <w:shd w:val="clear" w:color="auto" w:fill="FEFEFE"/>
        </w:rPr>
      </w:pPr>
    </w:p>
    <w:p>
      <w:pPr>
        <w:widowControl/>
        <w:spacing w:line="440" w:lineRule="atLeast"/>
        <w:jc w:val="left"/>
        <w:rPr>
          <w:rFonts w:ascii="宋体" w:hAnsi="宋体" w:cs="宋体"/>
          <w:color w:val="000000"/>
          <w:kern w:val="0"/>
          <w:sz w:val="24"/>
          <w:shd w:val="clear" w:color="auto" w:fill="FEFEFE"/>
        </w:rPr>
      </w:pPr>
    </w:p>
    <w:p>
      <w:pPr>
        <w:widowControl/>
        <w:spacing w:line="440" w:lineRule="atLeast"/>
        <w:jc w:val="left"/>
        <w:rPr>
          <w:rFonts w:ascii="宋体" w:hAnsi="宋体" w:cs="宋体"/>
          <w:color w:val="000000"/>
          <w:kern w:val="0"/>
          <w:sz w:val="24"/>
          <w:shd w:val="clear" w:color="auto" w:fill="FEFEFE"/>
        </w:rPr>
      </w:pPr>
    </w:p>
    <w:p>
      <w:pPr>
        <w:widowControl/>
        <w:spacing w:line="440" w:lineRule="atLeast"/>
        <w:jc w:val="left"/>
        <w:rPr>
          <w:rFonts w:ascii="宋体" w:hAnsi="宋体" w:cs="宋体"/>
          <w:color w:val="000000"/>
          <w:kern w:val="0"/>
          <w:sz w:val="24"/>
          <w:shd w:val="clear" w:color="auto" w:fill="FEFEFE"/>
        </w:rPr>
      </w:pPr>
    </w:p>
    <w:p>
      <w:pPr>
        <w:jc w:val="center"/>
        <w:rPr>
          <w:rFonts w:ascii="黑体" w:hAnsi="黑体" w:eastAsia="黑体"/>
          <w:color w:val="000000"/>
          <w:sz w:val="48"/>
          <w:szCs w:val="48"/>
        </w:rPr>
      </w:pPr>
      <w:bookmarkStart w:id="31" w:name="_Toc14843"/>
    </w:p>
    <w:p>
      <w:pPr>
        <w:jc w:val="center"/>
        <w:rPr>
          <w:rFonts w:ascii="黑体" w:hAnsi="黑体" w:eastAsia="黑体"/>
          <w:color w:val="000000"/>
          <w:sz w:val="48"/>
          <w:szCs w:val="48"/>
        </w:rPr>
      </w:pP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jc w:val="center"/>
      </w:pPr>
      <w:r>
        <w:rPr>
          <w:rFonts w:hint="eastAsia" w:ascii="黑体" w:hAnsi="黑体" w:eastAsia="黑体"/>
          <w:color w:val="000000"/>
          <w:sz w:val="48"/>
          <w:szCs w:val="48"/>
        </w:rPr>
        <w:t>第四部分  附件</w:t>
      </w:r>
      <w:bookmarkEnd w:id="31"/>
    </w:p>
    <w:p>
      <w:pPr>
        <w:spacing w:line="440" w:lineRule="atLeast"/>
        <w:rPr>
          <w:rStyle w:val="15"/>
          <w:rFonts w:ascii="宋体" w:hAnsi="宋体" w:cs="宋体"/>
          <w:b w:val="0"/>
          <w:bCs w:val="0"/>
          <w:sz w:val="32"/>
          <w:szCs w:val="32"/>
        </w:rPr>
      </w:pPr>
    </w:p>
    <w:p>
      <w:pPr>
        <w:widowControl/>
        <w:shd w:val="clear" w:color="auto" w:fill="FFFFFF"/>
        <w:spacing w:before="100" w:after="100"/>
        <w:ind w:firstLine="883" w:firstLineChars="200"/>
        <w:jc w:val="center"/>
        <w:outlineLvl w:val="3"/>
        <w:rPr>
          <w:rFonts w:ascii="宋体" w:hAnsi="宋体" w:cs="宋体"/>
          <w:b/>
          <w:bCs/>
          <w:color w:val="333333"/>
          <w:kern w:val="0"/>
          <w:sz w:val="44"/>
          <w:szCs w:val="44"/>
        </w:rPr>
      </w:pPr>
      <w:r>
        <w:rPr>
          <w:rFonts w:hint="eastAsia" w:ascii="宋体" w:hAnsi="宋体" w:cs="宋体"/>
          <w:b/>
          <w:bCs/>
          <w:color w:val="333333"/>
          <w:kern w:val="0"/>
          <w:sz w:val="44"/>
          <w:szCs w:val="44"/>
        </w:rPr>
        <w:t>镇裕镇2021年部门整体支出绩效</w:t>
      </w:r>
    </w:p>
    <w:p>
      <w:pPr>
        <w:widowControl/>
        <w:shd w:val="clear" w:color="auto" w:fill="FFFFFF"/>
        <w:spacing w:before="100" w:after="100"/>
        <w:ind w:firstLine="883" w:firstLineChars="200"/>
        <w:jc w:val="center"/>
        <w:outlineLvl w:val="3"/>
        <w:rPr>
          <w:rFonts w:ascii="宋体" w:hAnsi="宋体" w:cs="宋体"/>
          <w:b/>
          <w:bCs/>
          <w:color w:val="333333"/>
          <w:kern w:val="0"/>
          <w:sz w:val="44"/>
          <w:szCs w:val="44"/>
        </w:rPr>
      </w:pPr>
      <w:r>
        <w:rPr>
          <w:rFonts w:hint="eastAsia" w:ascii="宋体" w:hAnsi="宋体" w:cs="宋体"/>
          <w:b/>
          <w:bCs/>
          <w:color w:val="333333"/>
          <w:kern w:val="0"/>
          <w:sz w:val="44"/>
          <w:szCs w:val="44"/>
        </w:rPr>
        <w:t>自评报告</w:t>
      </w:r>
    </w:p>
    <w:p>
      <w:pPr>
        <w:widowControl/>
        <w:shd w:val="clear" w:color="auto" w:fill="FFFFFF"/>
        <w:spacing w:before="100" w:after="100"/>
        <w:ind w:firstLine="640" w:firstLineChars="200"/>
        <w:jc w:val="left"/>
        <w:rPr>
          <w:rFonts w:ascii="宋体" w:hAnsi="宋体" w:cs="宋体"/>
          <w:kern w:val="0"/>
          <w:sz w:val="32"/>
          <w:szCs w:val="32"/>
        </w:rPr>
      </w:pPr>
    </w:p>
    <w:p>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lang w:val="zh-CN"/>
        </w:rPr>
      </w:pPr>
      <w:r>
        <w:rPr>
          <w:rFonts w:hint="eastAsia" w:ascii="方正黑体_GBK" w:hAnsi="宋体" w:eastAsia="方正黑体_GBK" w:cs="宋体"/>
          <w:color w:val="000000"/>
          <w:kern w:val="0"/>
          <w:sz w:val="33"/>
          <w:szCs w:val="33"/>
          <w:shd w:val="clear" w:color="auto" w:fill="FFFFFF"/>
        </w:rPr>
        <w:t>一、</w:t>
      </w:r>
      <w:r>
        <w:rPr>
          <w:rFonts w:hint="eastAsia" w:ascii="方正黑体_GBK" w:hAnsi="宋体" w:eastAsia="方正黑体_GBK" w:cs="宋体"/>
          <w:color w:val="000000"/>
          <w:kern w:val="0"/>
          <w:sz w:val="33"/>
          <w:szCs w:val="33"/>
          <w:shd w:val="clear" w:color="auto" w:fill="FFFFFF"/>
          <w:lang w:val="zh-CN"/>
        </w:rPr>
        <w:t>部门（单位）概况</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（一）机构组成。</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rPr>
        <w:t>岳池县</w:t>
      </w:r>
      <w:r>
        <w:rPr>
          <w:rFonts w:hint="eastAsia" w:eastAsia="方正仿宋_GBK"/>
          <w:sz w:val="33"/>
          <w:szCs w:val="33"/>
          <w:lang w:val="zh-CN"/>
        </w:rPr>
        <w:t>镇裕镇</w:t>
      </w:r>
      <w:r>
        <w:rPr>
          <w:rFonts w:hint="eastAsia" w:eastAsia="方正仿宋_GBK"/>
          <w:sz w:val="33"/>
          <w:szCs w:val="33"/>
        </w:rPr>
        <w:t>人民政</w:t>
      </w:r>
      <w:r>
        <w:rPr>
          <w:rFonts w:hint="eastAsia" w:ascii="方正仿宋_GBK" w:hAnsi="宋体" w:eastAsia="方正仿宋_GBK" w:cs="宋体"/>
          <w:color w:val="000000"/>
          <w:kern w:val="0"/>
          <w:sz w:val="33"/>
          <w:szCs w:val="33"/>
          <w:shd w:val="clear" w:color="auto" w:fill="FFFFFF"/>
        </w:rPr>
        <w:t>府是财政全额拨款一级预算单位，实行独立财务核算，执行行政单位会计制度。</w:t>
      </w:r>
      <w:r>
        <w:rPr>
          <w:rFonts w:hint="eastAsia" w:eastAsia="方正仿宋_GBK"/>
          <w:color w:val="333333"/>
          <w:sz w:val="33"/>
          <w:szCs w:val="33"/>
        </w:rPr>
        <w:t>镇裕</w:t>
      </w:r>
      <w:r>
        <w:rPr>
          <w:rFonts w:eastAsia="方正仿宋_GBK"/>
          <w:color w:val="333333"/>
          <w:sz w:val="33"/>
          <w:szCs w:val="33"/>
        </w:rPr>
        <w:t>镇人民政府内设</w:t>
      </w:r>
      <w:r>
        <w:rPr>
          <w:rFonts w:hint="eastAsia" w:eastAsia="方正仿宋_GBK"/>
          <w:color w:val="333333"/>
          <w:sz w:val="33"/>
          <w:szCs w:val="33"/>
        </w:rPr>
        <w:t>11</w:t>
      </w:r>
      <w:r>
        <w:rPr>
          <w:rFonts w:eastAsia="方正仿宋_GBK"/>
          <w:color w:val="333333"/>
          <w:sz w:val="33"/>
          <w:szCs w:val="33"/>
        </w:rPr>
        <w:t>个科室，包括：</w:t>
      </w:r>
      <w:r>
        <w:rPr>
          <w:rFonts w:hint="eastAsia" w:eastAsia="方正仿宋_GBK"/>
          <w:color w:val="333333"/>
          <w:sz w:val="33"/>
          <w:szCs w:val="33"/>
        </w:rPr>
        <w:t>党政办</w:t>
      </w:r>
      <w:r>
        <w:rPr>
          <w:rFonts w:hint="eastAsia" w:eastAsia="方正仿宋_GBK"/>
          <w:color w:val="333333"/>
          <w:sz w:val="33"/>
          <w:szCs w:val="33"/>
          <w:lang w:val="zh-CN"/>
        </w:rPr>
        <w:t>、</w:t>
      </w:r>
      <w:r>
        <w:rPr>
          <w:rFonts w:hint="eastAsia" w:eastAsia="方正仿宋_GBK"/>
          <w:color w:val="333333"/>
          <w:sz w:val="33"/>
          <w:szCs w:val="33"/>
        </w:rPr>
        <w:t>党建办、财政所、综合行政执法办、社会治理办、应急管理办、社会事务办，镇直属事业单位为便民服务中心、综治中心、农民工服务中心、村建环卫服务中心，</w:t>
      </w:r>
      <w:r>
        <w:rPr>
          <w:rFonts w:eastAsia="方正仿宋_GBK"/>
          <w:kern w:val="0"/>
          <w:sz w:val="32"/>
          <w:szCs w:val="32"/>
          <w:lang w:val="zh-CN"/>
        </w:rPr>
        <w:t>县派驻镇单位</w:t>
      </w:r>
      <w:r>
        <w:rPr>
          <w:rFonts w:hint="eastAsia" w:eastAsia="方正仿宋_GBK"/>
          <w:kern w:val="0"/>
          <w:sz w:val="32"/>
          <w:szCs w:val="32"/>
          <w:lang w:val="zh-CN"/>
        </w:rPr>
        <w:t>镇裕</w:t>
      </w:r>
      <w:r>
        <w:rPr>
          <w:rFonts w:eastAsia="方正仿宋_GBK"/>
          <w:kern w:val="0"/>
          <w:sz w:val="32"/>
          <w:szCs w:val="32"/>
          <w:lang w:val="zh-CN"/>
        </w:rPr>
        <w:t>农技站、</w:t>
      </w:r>
      <w:r>
        <w:rPr>
          <w:rFonts w:hint="eastAsia" w:eastAsia="方正仿宋_GBK"/>
          <w:kern w:val="0"/>
          <w:sz w:val="32"/>
          <w:szCs w:val="32"/>
          <w:lang w:val="zh-CN"/>
        </w:rPr>
        <w:t>镇裕</w:t>
      </w:r>
      <w:r>
        <w:rPr>
          <w:rFonts w:eastAsia="方正仿宋_GBK"/>
          <w:kern w:val="0"/>
          <w:sz w:val="32"/>
          <w:szCs w:val="32"/>
          <w:lang w:val="zh-CN"/>
        </w:rPr>
        <w:t>畜牧业站</w:t>
      </w:r>
      <w:r>
        <w:rPr>
          <w:rFonts w:hint="eastAsia" w:eastAsia="方正仿宋_GBK"/>
          <w:kern w:val="0"/>
          <w:sz w:val="32"/>
          <w:szCs w:val="32"/>
        </w:rPr>
        <w:t>等</w:t>
      </w:r>
      <w:r>
        <w:rPr>
          <w:rFonts w:eastAsia="方正仿宋_GBK"/>
          <w:kern w:val="0"/>
          <w:sz w:val="32"/>
          <w:szCs w:val="32"/>
          <w:lang w:val="zh-CN"/>
        </w:rPr>
        <w:t>。</w:t>
      </w:r>
    </w:p>
    <w:p>
      <w:pPr>
        <w:widowControl/>
        <w:numPr>
          <w:ilvl w:val="0"/>
          <w:numId w:val="4"/>
        </w:numPr>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r>
        <w:rPr>
          <w:rFonts w:hint="eastAsia" w:ascii="方正仿宋_GBK" w:hAnsi="宋体" w:eastAsia="方正仿宋_GBK" w:cs="宋体"/>
          <w:color w:val="000000"/>
          <w:kern w:val="0"/>
          <w:sz w:val="33"/>
          <w:szCs w:val="33"/>
          <w:shd w:val="clear" w:color="auto" w:fill="FFFFFF"/>
          <w:lang w:val="zh-CN"/>
        </w:rPr>
        <w:t>机构职能。</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r>
        <w:rPr>
          <w:rFonts w:hint="eastAsia" w:ascii="方正仿宋_GBK" w:hAnsi="宋体" w:eastAsia="方正仿宋_GBK" w:cs="宋体"/>
          <w:color w:val="000000"/>
          <w:kern w:val="0"/>
          <w:sz w:val="33"/>
          <w:szCs w:val="33"/>
          <w:shd w:val="clear" w:color="auto" w:fill="FFFFFF"/>
        </w:rPr>
        <w:t>镇裕镇党委政府的职能主要是：落实政策、促进发展、维护稳定、加强管理、提供服务五个方面。贯彻执行党的路线、方针、政策，讨论决定本镇经济建设和社会发展的重大问题；领导各部门和群众组织，依照国家法律法规及各自章程行使职权；加强镇党委自身建设和村级组织建设；按照干部管理权限，负责对干部的教育、培养、选拔和监督工作；密切联系群众，为全镇农村经济和社会事业发展服好务。</w:t>
      </w:r>
    </w:p>
    <w:p>
      <w:pPr>
        <w:widowControl/>
        <w:numPr>
          <w:ilvl w:val="0"/>
          <w:numId w:val="4"/>
        </w:numPr>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人员概况。</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机关公务员编制</w:t>
      </w:r>
      <w:r>
        <w:rPr>
          <w:rFonts w:hint="eastAsia" w:ascii="方正仿宋_GBK" w:hAnsi="宋体" w:eastAsia="方正仿宋_GBK" w:cs="宋体"/>
          <w:color w:val="000000"/>
          <w:kern w:val="0"/>
          <w:sz w:val="33"/>
          <w:szCs w:val="33"/>
          <w:shd w:val="clear" w:color="auto" w:fill="FFFFFF"/>
        </w:rPr>
        <w:t>28</w:t>
      </w:r>
      <w:r>
        <w:rPr>
          <w:rFonts w:hint="eastAsia" w:ascii="方正仿宋_GBK" w:hAnsi="宋体" w:eastAsia="方正仿宋_GBK" w:cs="宋体"/>
          <w:color w:val="000000"/>
          <w:kern w:val="0"/>
          <w:sz w:val="33"/>
          <w:szCs w:val="33"/>
          <w:shd w:val="clear" w:color="auto" w:fill="FFFFFF"/>
          <w:lang w:val="zh-CN"/>
        </w:rPr>
        <w:t>名、机关工勤编制</w:t>
      </w:r>
      <w:r>
        <w:rPr>
          <w:rFonts w:hint="eastAsia" w:ascii="方正仿宋_GBK" w:hAnsi="宋体" w:eastAsia="方正仿宋_GBK" w:cs="宋体"/>
          <w:color w:val="000000"/>
          <w:kern w:val="0"/>
          <w:sz w:val="33"/>
          <w:szCs w:val="33"/>
          <w:shd w:val="clear" w:color="auto" w:fill="FFFFFF"/>
        </w:rPr>
        <w:t>3</w:t>
      </w:r>
      <w:r>
        <w:rPr>
          <w:rFonts w:hint="eastAsia" w:ascii="方正仿宋_GBK" w:hAnsi="宋体" w:eastAsia="方正仿宋_GBK" w:cs="宋体"/>
          <w:color w:val="000000"/>
          <w:kern w:val="0"/>
          <w:sz w:val="33"/>
          <w:szCs w:val="33"/>
          <w:shd w:val="clear" w:color="auto" w:fill="FFFFFF"/>
          <w:lang w:val="zh-CN"/>
        </w:rPr>
        <w:t>名，直属事业编</w:t>
      </w:r>
      <w:r>
        <w:rPr>
          <w:rFonts w:hint="eastAsia" w:ascii="方正仿宋_GBK" w:hAnsi="宋体" w:eastAsia="方正仿宋_GBK" w:cs="宋体"/>
          <w:color w:val="000000"/>
          <w:kern w:val="0"/>
          <w:sz w:val="33"/>
          <w:szCs w:val="33"/>
          <w:shd w:val="clear" w:color="auto" w:fill="FFFFFF"/>
        </w:rPr>
        <w:t>16</w:t>
      </w:r>
      <w:r>
        <w:rPr>
          <w:rFonts w:hint="eastAsia" w:ascii="方正仿宋_GBK" w:hAnsi="宋体" w:eastAsia="方正仿宋_GBK" w:cs="宋体"/>
          <w:color w:val="000000"/>
          <w:kern w:val="0"/>
          <w:sz w:val="33"/>
          <w:szCs w:val="33"/>
          <w:shd w:val="clear" w:color="auto" w:fill="FFFFFF"/>
          <w:lang w:val="zh-CN"/>
        </w:rPr>
        <w:t>名，农技畜牧编制</w:t>
      </w:r>
      <w:r>
        <w:rPr>
          <w:rFonts w:hint="eastAsia" w:ascii="方正仿宋_GBK" w:hAnsi="宋体" w:eastAsia="方正仿宋_GBK" w:cs="宋体"/>
          <w:color w:val="000000"/>
          <w:kern w:val="0"/>
          <w:sz w:val="33"/>
          <w:szCs w:val="33"/>
          <w:shd w:val="clear" w:color="auto" w:fill="FFFFFF"/>
        </w:rPr>
        <w:t>22</w:t>
      </w:r>
      <w:r>
        <w:rPr>
          <w:rFonts w:hint="eastAsia" w:ascii="方正仿宋_GBK" w:hAnsi="宋体" w:eastAsia="方正仿宋_GBK" w:cs="宋体"/>
          <w:color w:val="000000"/>
          <w:kern w:val="0"/>
          <w:sz w:val="33"/>
          <w:szCs w:val="33"/>
          <w:shd w:val="clear" w:color="auto" w:fill="FFFFFF"/>
          <w:lang w:val="zh-CN"/>
        </w:rPr>
        <w:t>名。实有人数</w:t>
      </w:r>
      <w:r>
        <w:rPr>
          <w:rFonts w:hint="eastAsia" w:ascii="方正仿宋_GBK" w:hAnsi="宋体" w:eastAsia="方正仿宋_GBK" w:cs="宋体"/>
          <w:color w:val="000000"/>
          <w:kern w:val="0"/>
          <w:sz w:val="33"/>
          <w:szCs w:val="33"/>
          <w:shd w:val="clear" w:color="auto" w:fill="FFFFFF"/>
        </w:rPr>
        <w:t>69</w:t>
      </w:r>
      <w:r>
        <w:rPr>
          <w:rFonts w:hint="eastAsia" w:ascii="方正仿宋_GBK" w:hAnsi="宋体" w:eastAsia="方正仿宋_GBK" w:cs="宋体"/>
          <w:color w:val="000000"/>
          <w:kern w:val="0"/>
          <w:sz w:val="33"/>
          <w:szCs w:val="33"/>
          <w:shd w:val="clear" w:color="auto" w:fill="FFFFFF"/>
          <w:lang w:val="zh-CN"/>
        </w:rPr>
        <w:t>人。</w:t>
      </w:r>
    </w:p>
    <w:p>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二、部门财政资金收支情况</w:t>
      </w:r>
    </w:p>
    <w:p>
      <w:pPr>
        <w:spacing w:line="600" w:lineRule="exact"/>
        <w:ind w:firstLine="640" w:firstLineChars="200"/>
        <w:rPr>
          <w:rFonts w:eastAsia="仿宋_GB2312"/>
          <w:color w:val="000000"/>
          <w:sz w:val="32"/>
          <w:szCs w:val="32"/>
          <w:lang w:val="zh-CN"/>
        </w:rPr>
      </w:pPr>
      <w:r>
        <w:rPr>
          <w:rFonts w:hint="eastAsia" w:eastAsia="仿宋_GB2312"/>
          <w:color w:val="000000"/>
          <w:sz w:val="32"/>
          <w:szCs w:val="32"/>
          <w:lang w:val="zh-CN"/>
        </w:rPr>
        <w:t>（一）部门财政资金收入情况。</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202</w:t>
      </w:r>
      <w:r>
        <w:rPr>
          <w:rFonts w:hint="eastAsia" w:ascii="方正仿宋_GBK" w:hAnsi="宋体" w:eastAsia="方正仿宋_GBK" w:cs="宋体"/>
          <w:color w:val="000000"/>
          <w:kern w:val="0"/>
          <w:sz w:val="33"/>
          <w:szCs w:val="33"/>
          <w:shd w:val="clear" w:color="auto" w:fill="FFFFFF"/>
        </w:rPr>
        <w:t>1</w:t>
      </w:r>
      <w:r>
        <w:rPr>
          <w:rFonts w:hint="eastAsia" w:ascii="方正仿宋_GBK" w:hAnsi="宋体" w:eastAsia="方正仿宋_GBK" w:cs="宋体"/>
          <w:color w:val="000000"/>
          <w:kern w:val="0"/>
          <w:sz w:val="33"/>
          <w:szCs w:val="33"/>
          <w:shd w:val="clear" w:color="auto" w:fill="FFFFFF"/>
          <w:lang w:val="zh-CN"/>
        </w:rPr>
        <w:t>年镇裕镇人民政府收入总额为</w:t>
      </w:r>
      <w:r>
        <w:rPr>
          <w:rFonts w:hint="eastAsia" w:ascii="方正仿宋_GBK" w:hAnsi="宋体" w:eastAsia="方正仿宋_GBK" w:cs="宋体"/>
          <w:color w:val="000000"/>
          <w:kern w:val="0"/>
          <w:sz w:val="33"/>
          <w:szCs w:val="33"/>
          <w:shd w:val="clear" w:color="auto" w:fill="FFFFFF"/>
        </w:rPr>
        <w:t>2334.27</w:t>
      </w:r>
      <w:r>
        <w:rPr>
          <w:rFonts w:hint="eastAsia" w:ascii="方正仿宋_GBK" w:hAnsi="宋体" w:eastAsia="方正仿宋_GBK" w:cs="宋体"/>
          <w:color w:val="000000"/>
          <w:kern w:val="0"/>
          <w:sz w:val="33"/>
          <w:szCs w:val="33"/>
          <w:shd w:val="clear" w:color="auto" w:fill="FFFFFF"/>
          <w:lang w:val="zh-CN"/>
        </w:rPr>
        <w:t>万元，其中：当年财政基本支出拨款收入</w:t>
      </w:r>
      <w:r>
        <w:rPr>
          <w:rFonts w:hint="eastAsia" w:ascii="方正仿宋_GBK" w:hAnsi="宋体" w:eastAsia="方正仿宋_GBK" w:cs="宋体"/>
          <w:color w:val="000000"/>
          <w:kern w:val="0"/>
          <w:sz w:val="33"/>
          <w:szCs w:val="33"/>
          <w:shd w:val="clear" w:color="auto" w:fill="FFFFFF"/>
        </w:rPr>
        <w:t>2334.27</w:t>
      </w:r>
      <w:r>
        <w:rPr>
          <w:rFonts w:hint="eastAsia" w:ascii="方正仿宋_GBK" w:hAnsi="宋体" w:eastAsia="方正仿宋_GBK" w:cs="宋体"/>
          <w:color w:val="000000"/>
          <w:kern w:val="0"/>
          <w:sz w:val="33"/>
          <w:szCs w:val="33"/>
          <w:shd w:val="clear" w:color="auto" w:fill="FFFFFF"/>
          <w:lang w:val="zh-CN"/>
        </w:rPr>
        <w:t>万元。</w:t>
      </w:r>
    </w:p>
    <w:p>
      <w:pPr>
        <w:spacing w:line="600" w:lineRule="exact"/>
        <w:ind w:firstLine="640" w:firstLineChars="200"/>
        <w:rPr>
          <w:rFonts w:eastAsia="仿宋_GB2312"/>
          <w:color w:val="000000"/>
          <w:sz w:val="32"/>
          <w:szCs w:val="32"/>
          <w:lang w:val="zh-CN"/>
        </w:rPr>
      </w:pPr>
      <w:r>
        <w:rPr>
          <w:rFonts w:hint="eastAsia" w:eastAsia="仿宋_GB2312"/>
          <w:color w:val="000000"/>
          <w:sz w:val="32"/>
          <w:szCs w:val="32"/>
          <w:lang w:val="zh-CN"/>
        </w:rPr>
        <w:t>（二）部门财政资金支出情况。</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2021年镇本级财政总支出为</w:t>
      </w:r>
      <w:r>
        <w:rPr>
          <w:rFonts w:hint="eastAsia" w:ascii="方正仿宋_GBK" w:hAnsi="宋体" w:eastAsia="方正仿宋_GBK" w:cs="宋体"/>
          <w:color w:val="000000"/>
          <w:kern w:val="0"/>
          <w:sz w:val="33"/>
          <w:szCs w:val="33"/>
          <w:shd w:val="clear" w:color="auto" w:fill="FFFFFF"/>
        </w:rPr>
        <w:t>2334.27</w:t>
      </w:r>
      <w:r>
        <w:rPr>
          <w:rFonts w:hint="eastAsia" w:ascii="方正仿宋_GBK" w:hAnsi="宋体" w:eastAsia="方正仿宋_GBK" w:cs="宋体"/>
          <w:color w:val="000000"/>
          <w:kern w:val="0"/>
          <w:sz w:val="33"/>
          <w:szCs w:val="33"/>
          <w:shd w:val="clear" w:color="auto" w:fill="FFFFFF"/>
          <w:lang w:val="zh-CN"/>
        </w:rPr>
        <w:t>万元，主要用于以下方面：一般公共服务支出</w:t>
      </w:r>
      <w:r>
        <w:rPr>
          <w:rFonts w:hint="eastAsia" w:ascii="方正仿宋_GBK" w:hAnsi="宋体" w:eastAsia="方正仿宋_GBK" w:cs="宋体"/>
          <w:color w:val="000000"/>
          <w:kern w:val="0"/>
          <w:sz w:val="33"/>
          <w:szCs w:val="33"/>
          <w:shd w:val="clear" w:color="auto" w:fill="FFFFFF"/>
        </w:rPr>
        <w:t>702.54</w:t>
      </w:r>
      <w:r>
        <w:rPr>
          <w:rFonts w:hint="eastAsia" w:ascii="方正仿宋_GBK" w:hAnsi="宋体" w:eastAsia="方正仿宋_GBK" w:cs="宋体"/>
          <w:color w:val="000000"/>
          <w:kern w:val="0"/>
          <w:sz w:val="33"/>
          <w:szCs w:val="33"/>
          <w:shd w:val="clear" w:color="auto" w:fill="FFFFFF"/>
          <w:lang w:val="zh-CN"/>
        </w:rPr>
        <w:t>万元，主要用于政府及部门事务、人大事务、共产党事务等一般公共服务部门的行政运行费用、工资类支出，以及相关的各类专项业务支出等。社会保障和就业支出</w:t>
      </w:r>
      <w:r>
        <w:rPr>
          <w:rFonts w:hint="eastAsia" w:ascii="方正仿宋_GBK" w:hAnsi="宋体" w:eastAsia="方正仿宋_GBK" w:cs="宋体"/>
          <w:color w:val="000000"/>
          <w:kern w:val="0"/>
          <w:sz w:val="33"/>
          <w:szCs w:val="33"/>
          <w:shd w:val="clear" w:color="auto" w:fill="FFFFFF"/>
        </w:rPr>
        <w:t>225.14</w:t>
      </w:r>
      <w:r>
        <w:rPr>
          <w:rFonts w:hint="eastAsia" w:ascii="方正仿宋_GBK" w:hAnsi="宋体" w:eastAsia="方正仿宋_GBK" w:cs="宋体"/>
          <w:color w:val="000000"/>
          <w:kern w:val="0"/>
          <w:sz w:val="33"/>
          <w:szCs w:val="33"/>
          <w:shd w:val="clear" w:color="auto" w:fill="FFFFFF"/>
          <w:lang w:val="zh-CN"/>
        </w:rPr>
        <w:t>万元，主要用于社会保障支出。城乡社区支出</w:t>
      </w:r>
      <w:r>
        <w:rPr>
          <w:rFonts w:hint="eastAsia" w:ascii="方正仿宋_GBK" w:hAnsi="宋体" w:eastAsia="方正仿宋_GBK" w:cs="宋体"/>
          <w:color w:val="000000"/>
          <w:kern w:val="0"/>
          <w:sz w:val="33"/>
          <w:szCs w:val="33"/>
          <w:shd w:val="clear" w:color="auto" w:fill="FFFFFF"/>
        </w:rPr>
        <w:t>91.40</w:t>
      </w:r>
      <w:r>
        <w:rPr>
          <w:rFonts w:hint="eastAsia" w:ascii="方正仿宋_GBK" w:hAnsi="宋体" w:eastAsia="方正仿宋_GBK" w:cs="宋体"/>
          <w:color w:val="000000"/>
          <w:kern w:val="0"/>
          <w:sz w:val="33"/>
          <w:szCs w:val="33"/>
          <w:shd w:val="clear" w:color="auto" w:fill="FFFFFF"/>
          <w:lang w:val="zh-CN"/>
        </w:rPr>
        <w:t>元，主要用于社区人员经费。卫生和健康支出</w:t>
      </w:r>
      <w:r>
        <w:rPr>
          <w:rFonts w:hint="eastAsia" w:ascii="方正仿宋_GBK" w:hAnsi="宋体" w:eastAsia="方正仿宋_GBK" w:cs="宋体"/>
          <w:color w:val="000000"/>
          <w:kern w:val="0"/>
          <w:sz w:val="33"/>
          <w:szCs w:val="33"/>
          <w:shd w:val="clear" w:color="auto" w:fill="FFFFFF"/>
        </w:rPr>
        <w:t>35.60</w:t>
      </w:r>
      <w:r>
        <w:rPr>
          <w:rFonts w:hint="eastAsia" w:ascii="方正仿宋_GBK" w:hAnsi="宋体" w:eastAsia="方正仿宋_GBK" w:cs="宋体"/>
          <w:color w:val="000000"/>
          <w:kern w:val="0"/>
          <w:sz w:val="33"/>
          <w:szCs w:val="33"/>
          <w:shd w:val="clear" w:color="auto" w:fill="FFFFFF"/>
          <w:lang w:val="zh-CN"/>
        </w:rPr>
        <w:t>万，主要用于医疗卫生事业支出。农林水支出</w:t>
      </w:r>
      <w:r>
        <w:rPr>
          <w:rFonts w:hint="eastAsia" w:ascii="方正仿宋_GBK" w:hAnsi="宋体" w:eastAsia="方正仿宋_GBK" w:cs="宋体"/>
          <w:color w:val="000000"/>
          <w:kern w:val="0"/>
          <w:sz w:val="33"/>
          <w:szCs w:val="33"/>
          <w:shd w:val="clear" w:color="auto" w:fill="FFFFFF"/>
        </w:rPr>
        <w:t>1193.34</w:t>
      </w:r>
      <w:r>
        <w:rPr>
          <w:rFonts w:hint="eastAsia" w:ascii="方正仿宋_GBK" w:hAnsi="宋体" w:eastAsia="方正仿宋_GBK" w:cs="宋体"/>
          <w:color w:val="000000"/>
          <w:kern w:val="0"/>
          <w:sz w:val="33"/>
          <w:szCs w:val="33"/>
          <w:shd w:val="clear" w:color="auto" w:fill="FFFFFF"/>
          <w:lang w:val="zh-CN"/>
        </w:rPr>
        <w:t>万元，主要用于农业事业经费、村民委员会和村级党支部的补助支出、对高校毕业生到基层任职补助支出等。住房保障支出79.39万</w:t>
      </w:r>
      <w:r>
        <w:rPr>
          <w:rFonts w:hint="eastAsia" w:ascii="宋体" w:hAnsi="宋体" w:cs="宋体"/>
          <w:color w:val="000000"/>
          <w:sz w:val="24"/>
          <w:shd w:val="clear" w:color="auto" w:fill="FFFFFF"/>
        </w:rPr>
        <w:t>元</w:t>
      </w:r>
      <w:r>
        <w:rPr>
          <w:rFonts w:hint="eastAsia" w:ascii="方正仿宋_GBK" w:hAnsi="宋体" w:eastAsia="方正仿宋_GBK" w:cs="宋体"/>
          <w:color w:val="000000"/>
          <w:kern w:val="0"/>
          <w:sz w:val="33"/>
          <w:szCs w:val="33"/>
          <w:shd w:val="clear" w:color="auto" w:fill="FFFFFF"/>
          <w:lang w:val="zh-CN"/>
        </w:rPr>
        <w:t>，主要用于职工住房公积金支出。</w:t>
      </w:r>
      <w:r>
        <w:rPr>
          <w:rFonts w:hint="eastAsia" w:ascii="方正仿宋_GBK" w:hAnsi="宋体" w:eastAsia="方正仿宋_GBK" w:cs="宋体"/>
          <w:color w:val="000000"/>
          <w:kern w:val="0"/>
          <w:sz w:val="33"/>
          <w:szCs w:val="33"/>
          <w:shd w:val="clear" w:color="auto" w:fill="FFFFFF"/>
        </w:rPr>
        <w:t>灾害防治及应急管理支出6.86元，</w:t>
      </w:r>
      <w:r>
        <w:rPr>
          <w:rFonts w:hint="eastAsia" w:ascii="方正仿宋_GBK" w:hAnsi="宋体" w:eastAsia="方正仿宋_GBK" w:cs="宋体"/>
          <w:color w:val="000000"/>
          <w:kern w:val="0"/>
          <w:sz w:val="33"/>
          <w:szCs w:val="33"/>
          <w:shd w:val="clear" w:color="auto" w:fill="FFFFFF"/>
          <w:lang w:val="zh-CN"/>
        </w:rPr>
        <w:t>用于防疫物资购置、疫情期间保供稳价等。</w:t>
      </w:r>
    </w:p>
    <w:p>
      <w:pPr>
        <w:widowControl/>
        <w:shd w:val="clear" w:color="auto" w:fill="FFFFFF"/>
        <w:spacing w:line="440" w:lineRule="atLeast"/>
        <w:ind w:firstLine="660" w:firstLineChars="200"/>
        <w:jc w:val="left"/>
        <w:rPr>
          <w:rFonts w:eastAsia="方正仿宋_GBK"/>
          <w:sz w:val="33"/>
          <w:szCs w:val="33"/>
          <w:lang w:val="zh-CN"/>
        </w:rPr>
      </w:pPr>
      <w:r>
        <w:rPr>
          <w:rFonts w:hint="eastAsia" w:eastAsia="方正仿宋_GBK"/>
          <w:sz w:val="33"/>
          <w:szCs w:val="33"/>
        </w:rPr>
        <w:t>收入、支出变动情况及原因：总收入比上年增加208.2万元，增加8.9%，变动原因是人员调动，基础设施增加，所以收入增加；总支出比上年增加208.2万元，增加8.9%，变动原因是人员调动，基础设施增加，所以支出增加。</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(三)收入支出预算执行情况</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1.收入预决算对比分析表</w:t>
      </w:r>
    </w:p>
    <w:tbl>
      <w:tblPr>
        <w:tblStyle w:val="11"/>
        <w:tblW w:w="0" w:type="auto"/>
        <w:tblInd w:w="0" w:type="dxa"/>
        <w:tblLayout w:type="fixed"/>
        <w:tblCellMar>
          <w:top w:w="15" w:type="dxa"/>
          <w:left w:w="15" w:type="dxa"/>
          <w:bottom w:w="15" w:type="dxa"/>
          <w:right w:w="15" w:type="dxa"/>
        </w:tblCellMar>
      </w:tblPr>
      <w:tblGrid>
        <w:gridCol w:w="1079"/>
        <w:gridCol w:w="1080"/>
        <w:gridCol w:w="1080"/>
        <w:gridCol w:w="1080"/>
        <w:gridCol w:w="1080"/>
        <w:gridCol w:w="1081"/>
        <w:gridCol w:w="1080"/>
        <w:gridCol w:w="1080"/>
      </w:tblGrid>
      <w:tr>
        <w:tblPrEx>
          <w:tblCellMar>
            <w:top w:w="15" w:type="dxa"/>
            <w:left w:w="15" w:type="dxa"/>
            <w:bottom w:w="15" w:type="dxa"/>
            <w:right w:w="15" w:type="dxa"/>
          </w:tblCellMar>
        </w:tblPrEx>
        <w:trPr>
          <w:trHeight w:val="286" w:hRule="atLeast"/>
        </w:trPr>
        <w:tc>
          <w:tcPr>
            <w:tcW w:w="6480"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1080" w:type="dxa"/>
            <w:vMerge w:val="restart"/>
            <w:tcBorders>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080" w:type="dxa"/>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r>
      <w:tr>
        <w:tblPrEx>
          <w:tblCellMar>
            <w:top w:w="15" w:type="dxa"/>
            <w:left w:w="15" w:type="dxa"/>
            <w:bottom w:w="15" w:type="dxa"/>
            <w:right w:w="15" w:type="dxa"/>
          </w:tblCellMar>
        </w:tblPrEx>
        <w:trPr>
          <w:trHeight w:val="286" w:hRule="atLeast"/>
        </w:trPr>
        <w:tc>
          <w:tcPr>
            <w:tcW w:w="6480" w:type="dxa"/>
            <w:gridSpan w:val="6"/>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单位名称</w:t>
            </w:r>
          </w:p>
        </w:tc>
        <w:tc>
          <w:tcPr>
            <w:tcW w:w="1080" w:type="dxa"/>
            <w:vMerge w:val="continue"/>
            <w:tcBorders>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20"/>
                <w:szCs w:val="20"/>
              </w:rPr>
            </w:pPr>
          </w:p>
        </w:tc>
        <w:tc>
          <w:tcPr>
            <w:tcW w:w="1080" w:type="dxa"/>
            <w:tcBorders>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四川省广安市岳池县镇裕镇人民政府</w:t>
            </w:r>
          </w:p>
        </w:tc>
      </w:tr>
      <w:tr>
        <w:tblPrEx>
          <w:tblCellMar>
            <w:top w:w="15" w:type="dxa"/>
            <w:left w:w="15" w:type="dxa"/>
            <w:bottom w:w="15" w:type="dxa"/>
            <w:right w:w="15" w:type="dxa"/>
          </w:tblCellMar>
        </w:tblPrEx>
        <w:trPr>
          <w:trHeight w:val="286" w:hRule="atLeast"/>
        </w:trPr>
        <w:tc>
          <w:tcPr>
            <w:tcW w:w="1079" w:type="dxa"/>
            <w:vMerge w:val="restart"/>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收入总计</w:t>
            </w:r>
          </w:p>
        </w:tc>
        <w:tc>
          <w:tcPr>
            <w:tcW w:w="5401" w:type="dxa"/>
            <w:gridSpan w:val="5"/>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1756.79</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5401" w:type="dxa"/>
            <w:gridSpan w:val="5"/>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2334.27</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5401" w:type="dxa"/>
            <w:gridSpan w:val="5"/>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24.74</w:t>
            </w:r>
          </w:p>
        </w:tc>
      </w:tr>
      <w:tr>
        <w:tblPrEx>
          <w:tblCellMar>
            <w:top w:w="15" w:type="dxa"/>
            <w:left w:w="15" w:type="dxa"/>
            <w:bottom w:w="15" w:type="dxa"/>
            <w:right w:w="15" w:type="dxa"/>
          </w:tblCellMar>
        </w:tblPrEx>
        <w:trPr>
          <w:trHeight w:val="286" w:hRule="atLeast"/>
        </w:trPr>
        <w:tc>
          <w:tcPr>
            <w:tcW w:w="1079" w:type="dxa"/>
            <w:vMerge w:val="restart"/>
            <w:tcBorders>
              <w:top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其中：</w:t>
            </w: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年初结转和结余</w:t>
            </w:r>
          </w:p>
        </w:tc>
        <w:tc>
          <w:tcPr>
            <w:tcW w:w="4321" w:type="dxa"/>
            <w:gridSpan w:val="4"/>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4321" w:type="dxa"/>
            <w:gridSpan w:val="4"/>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4321" w:type="dxa"/>
            <w:gridSpan w:val="4"/>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本年收入</w:t>
            </w:r>
          </w:p>
        </w:tc>
        <w:tc>
          <w:tcPr>
            <w:tcW w:w="4321" w:type="dxa"/>
            <w:gridSpan w:val="4"/>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1756.79</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4321" w:type="dxa"/>
            <w:gridSpan w:val="4"/>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2334.27</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4321" w:type="dxa"/>
            <w:gridSpan w:val="4"/>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24.74</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其中：</w:t>
            </w: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财政拨款</w:t>
            </w:r>
          </w:p>
        </w:tc>
        <w:tc>
          <w:tcPr>
            <w:tcW w:w="3241"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1756.79</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241"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2334.27</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241"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24.74</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非财政拨款</w:t>
            </w:r>
          </w:p>
        </w:tc>
        <w:tc>
          <w:tcPr>
            <w:tcW w:w="3241"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241"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241"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w:t>
            </w: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20"/>
                <w:szCs w:val="20"/>
              </w:rPr>
            </w:pP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20"/>
                <w:szCs w:val="20"/>
              </w:rPr>
            </w:pP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20"/>
                <w:szCs w:val="20"/>
              </w:rPr>
            </w:pP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20"/>
                <w:szCs w:val="20"/>
              </w:rPr>
            </w:pP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20"/>
                <w:szCs w:val="20"/>
              </w:rPr>
            </w:pP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20"/>
                <w:szCs w:val="20"/>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20"/>
                <w:szCs w:val="20"/>
              </w:rPr>
            </w:pPr>
          </w:p>
        </w:tc>
        <w:tc>
          <w:tcPr>
            <w:tcW w:w="108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差异率%</w:t>
            </w:r>
          </w:p>
        </w:tc>
        <w:tc>
          <w:tcPr>
            <w:tcW w:w="1080"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08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bl>
    <w:p>
      <w:pPr>
        <w:ind w:left="630"/>
        <w:rPr>
          <w:rFonts w:ascii="仿宋" w:hAnsi="仿宋" w:eastAsia="仿宋" w:cs="宋体"/>
          <w:color w:val="000000"/>
          <w:kern w:val="0"/>
          <w:sz w:val="32"/>
          <w:szCs w:val="32"/>
        </w:rPr>
      </w:pPr>
      <w:r>
        <w:rPr>
          <w:rFonts w:hint="eastAsia" w:ascii="仿宋" w:hAnsi="仿宋" w:eastAsia="仿宋" w:cs="宋体"/>
          <w:color w:val="000000"/>
          <w:kern w:val="0"/>
          <w:sz w:val="32"/>
          <w:szCs w:val="32"/>
        </w:rPr>
        <w:t>2.收入支出结构分析</w:t>
      </w:r>
    </w:p>
    <w:tbl>
      <w:tblPr>
        <w:tblStyle w:val="11"/>
        <w:tblW w:w="0" w:type="auto"/>
        <w:tblInd w:w="0" w:type="dxa"/>
        <w:tblLayout w:type="fixed"/>
        <w:tblCellMar>
          <w:top w:w="15" w:type="dxa"/>
          <w:left w:w="15" w:type="dxa"/>
          <w:bottom w:w="15" w:type="dxa"/>
          <w:right w:w="15" w:type="dxa"/>
        </w:tblCellMar>
      </w:tblPr>
      <w:tblGrid>
        <w:gridCol w:w="1079"/>
        <w:gridCol w:w="1080"/>
        <w:gridCol w:w="3001"/>
        <w:gridCol w:w="778"/>
        <w:gridCol w:w="2730"/>
      </w:tblGrid>
      <w:tr>
        <w:tblPrEx>
          <w:tblCellMar>
            <w:top w:w="15" w:type="dxa"/>
            <w:left w:w="15" w:type="dxa"/>
            <w:bottom w:w="15" w:type="dxa"/>
            <w:right w:w="15" w:type="dxa"/>
          </w:tblCellMar>
        </w:tblPrEx>
        <w:trPr>
          <w:trHeight w:val="286" w:hRule="atLeast"/>
        </w:trPr>
        <w:tc>
          <w:tcPr>
            <w:tcW w:w="516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778" w:type="dxa"/>
            <w:vMerge w:val="restart"/>
            <w:tcBorders>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2730" w:type="dxa"/>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r>
      <w:tr>
        <w:tblPrEx>
          <w:tblCellMar>
            <w:top w:w="15" w:type="dxa"/>
            <w:left w:w="15" w:type="dxa"/>
            <w:bottom w:w="15" w:type="dxa"/>
            <w:right w:w="15" w:type="dxa"/>
          </w:tblCellMar>
        </w:tblPrEx>
        <w:trPr>
          <w:trHeight w:val="286" w:hRule="atLeast"/>
        </w:trPr>
        <w:tc>
          <w:tcPr>
            <w:tcW w:w="5160" w:type="dxa"/>
            <w:gridSpan w:val="3"/>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单位名称</w:t>
            </w:r>
          </w:p>
        </w:tc>
        <w:tc>
          <w:tcPr>
            <w:tcW w:w="778" w:type="dxa"/>
            <w:vMerge w:val="continue"/>
            <w:tcBorders>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2730" w:type="dxa"/>
            <w:tcBorders>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四川省广安市岳池县镇裕镇人民政府</w:t>
            </w:r>
          </w:p>
        </w:tc>
      </w:tr>
      <w:tr>
        <w:tblPrEx>
          <w:tblCellMar>
            <w:top w:w="15" w:type="dxa"/>
            <w:left w:w="15" w:type="dxa"/>
            <w:bottom w:w="15" w:type="dxa"/>
            <w:right w:w="15" w:type="dxa"/>
          </w:tblCellMar>
        </w:tblPrEx>
        <w:trPr>
          <w:trHeight w:val="286" w:hRule="atLeast"/>
        </w:trPr>
        <w:tc>
          <w:tcPr>
            <w:tcW w:w="1079" w:type="dxa"/>
            <w:vMerge w:val="restart"/>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收入结构</w:t>
            </w:r>
          </w:p>
        </w:tc>
        <w:tc>
          <w:tcPr>
            <w:tcW w:w="4081"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本年收入</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2334.27</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财政拨款收入</w:t>
            </w: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2334.27</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占本年收入%</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事业收入</w:t>
            </w: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占本年收入%</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经营收入</w:t>
            </w: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占本年收入%</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w:t>
            </w: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占本年收入%</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restart"/>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支出结构</w:t>
            </w:r>
          </w:p>
        </w:tc>
        <w:tc>
          <w:tcPr>
            <w:tcW w:w="4081"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2334.27</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按资金来源</w:t>
            </w: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财政拨款支出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2334.27</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按支出性质</w:t>
            </w: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基本支出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2234.06</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95.71</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Arial"/>
                <w:color w:val="000000"/>
                <w:kern w:val="0"/>
                <w:sz w:val="18"/>
                <w:szCs w:val="18"/>
              </w:rPr>
              <w:t>100.21</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4.29</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经营支出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按支出经济分类</w:t>
            </w: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工资福利支出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1009.81</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43.26</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商品和服务支出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424.46</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18.18</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对个人和家庭的补助</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811.21</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34.75</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资本性支出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88.79</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cs="Arial"/>
                <w:color w:val="000000"/>
                <w:kern w:val="0"/>
                <w:sz w:val="18"/>
                <w:szCs w:val="18"/>
              </w:rPr>
              <w:t>3.81</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001"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占本年支出%</w:t>
            </w:r>
          </w:p>
        </w:tc>
        <w:tc>
          <w:tcPr>
            <w:tcW w:w="778"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2730"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bl>
    <w:p>
      <w:pPr>
        <w:rPr>
          <w:rFonts w:ascii="仿宋" w:hAnsi="仿宋" w:eastAsia="仿宋" w:cs="宋体"/>
          <w:color w:val="000000"/>
          <w:kern w:val="0"/>
          <w:sz w:val="32"/>
          <w:szCs w:val="32"/>
        </w:rPr>
      </w:pPr>
    </w:p>
    <w:p>
      <w:pPr>
        <w:shd w:val="clear" w:color="auto" w:fill="FFFFFF"/>
        <w:tabs>
          <w:tab w:val="left" w:pos="1140"/>
        </w:tabs>
        <w:spacing w:before="100" w:beforeAutospacing="1" w:after="100" w:afterAutospacing="1" w:line="597" w:lineRule="exact"/>
        <w:rPr>
          <w:rFonts w:ascii="楷体" w:hAnsi="楷体" w:eastAsia="楷体" w:cs="宋体"/>
          <w:kern w:val="0"/>
          <w:sz w:val="32"/>
          <w:szCs w:val="32"/>
        </w:rPr>
      </w:pPr>
      <w:r>
        <w:rPr>
          <w:rFonts w:hint="eastAsia" w:ascii="楷体" w:hAnsi="楷体" w:eastAsia="楷体" w:cs="宋体"/>
          <w:kern w:val="0"/>
          <w:sz w:val="32"/>
          <w:szCs w:val="32"/>
        </w:rPr>
        <w:t>3.</w:t>
      </w:r>
      <w:r>
        <w:rPr>
          <w:rFonts w:hint="eastAsia" w:ascii="宋体" w:hAnsi="宋体" w:cs="宋体"/>
          <w:kern w:val="0"/>
          <w:sz w:val="32"/>
          <w:szCs w:val="32"/>
        </w:rPr>
        <w:t>收入支出上下年度对比分析表</w:t>
      </w:r>
    </w:p>
    <w:tbl>
      <w:tblPr>
        <w:tblStyle w:val="11"/>
        <w:tblW w:w="8120" w:type="dxa"/>
        <w:tblInd w:w="96" w:type="dxa"/>
        <w:tblLayout w:type="fixed"/>
        <w:tblCellMar>
          <w:top w:w="0" w:type="dxa"/>
          <w:left w:w="108" w:type="dxa"/>
          <w:bottom w:w="0" w:type="dxa"/>
          <w:right w:w="108" w:type="dxa"/>
        </w:tblCellMar>
      </w:tblPr>
      <w:tblGrid>
        <w:gridCol w:w="870"/>
        <w:gridCol w:w="891"/>
        <w:gridCol w:w="870"/>
        <w:gridCol w:w="1715"/>
        <w:gridCol w:w="870"/>
        <w:gridCol w:w="2904"/>
      </w:tblGrid>
      <w:tr>
        <w:tblPrEx>
          <w:tblCellMar>
            <w:top w:w="0" w:type="dxa"/>
            <w:left w:w="108" w:type="dxa"/>
            <w:bottom w:w="0" w:type="dxa"/>
            <w:right w:w="108" w:type="dxa"/>
          </w:tblCellMar>
        </w:tblPrEx>
        <w:trPr>
          <w:trHeight w:val="264" w:hRule="atLeast"/>
        </w:trPr>
        <w:tc>
          <w:tcPr>
            <w:tcW w:w="434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行次</w:t>
            </w:r>
          </w:p>
        </w:tc>
        <w:tc>
          <w:tcPr>
            <w:tcW w:w="870" w:type="dxa"/>
            <w:vMerge w:val="restart"/>
            <w:tcBorders>
              <w:top w:val="nil"/>
              <w:left w:val="single" w:color="000000" w:sz="4" w:space="0"/>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栏次</w:t>
            </w:r>
          </w:p>
        </w:tc>
        <w:tc>
          <w:tcPr>
            <w:tcW w:w="2904" w:type="dxa"/>
            <w:tcBorders>
              <w:top w:val="nil"/>
              <w:left w:val="nil"/>
              <w:bottom w:val="single" w:color="000000" w:sz="4" w:space="0"/>
              <w:right w:val="single" w:color="000000" w:sz="4" w:space="0"/>
            </w:tcBorders>
            <w:noWrap/>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w:t>
            </w:r>
          </w:p>
        </w:tc>
      </w:tr>
      <w:tr>
        <w:tblPrEx>
          <w:tblCellMar>
            <w:top w:w="0" w:type="dxa"/>
            <w:left w:w="108" w:type="dxa"/>
            <w:bottom w:w="0" w:type="dxa"/>
            <w:right w:w="108" w:type="dxa"/>
          </w:tblCellMar>
        </w:tblPrEx>
        <w:trPr>
          <w:trHeight w:val="264" w:hRule="atLeast"/>
        </w:trPr>
        <w:tc>
          <w:tcPr>
            <w:tcW w:w="4346" w:type="dxa"/>
            <w:gridSpan w:val="4"/>
            <w:tcBorders>
              <w:top w:val="single" w:color="000000" w:sz="4" w:space="0"/>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单位名称</w:t>
            </w:r>
          </w:p>
        </w:tc>
        <w:tc>
          <w:tcPr>
            <w:tcW w:w="870" w:type="dxa"/>
            <w:vMerge w:val="continue"/>
            <w:tcBorders>
              <w:top w:val="nil"/>
              <w:left w:val="single" w:color="000000" w:sz="4" w:space="0"/>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904" w:type="dxa"/>
            <w:tcBorders>
              <w:top w:val="nil"/>
              <w:left w:val="nil"/>
              <w:bottom w:val="single" w:color="000000" w:sz="4" w:space="0"/>
              <w:right w:val="single" w:color="000000" w:sz="4" w:space="0"/>
            </w:tcBorders>
            <w:noWrap/>
            <w:vAlign w:val="center"/>
          </w:tcPr>
          <w:p>
            <w:pPr>
              <w:spacing w:line="597" w:lineRule="exact"/>
              <w:jc w:val="left"/>
              <w:rPr>
                <w:rFonts w:ascii="宋体" w:cs="Arial"/>
                <w:color w:val="000000"/>
                <w:kern w:val="0"/>
                <w:sz w:val="18"/>
                <w:szCs w:val="18"/>
              </w:rPr>
            </w:pPr>
            <w:r>
              <w:rPr>
                <w:rFonts w:hint="eastAsia" w:ascii="宋体" w:hAnsi="宋体" w:cs="Arial"/>
                <w:color w:val="000000"/>
                <w:kern w:val="0"/>
                <w:sz w:val="18"/>
                <w:szCs w:val="18"/>
              </w:rPr>
              <w:t>四川省广安市岳池县镇裕镇人民政府</w:t>
            </w:r>
          </w:p>
        </w:tc>
      </w:tr>
      <w:tr>
        <w:tblPrEx>
          <w:tblCellMar>
            <w:top w:w="0" w:type="dxa"/>
            <w:left w:w="108" w:type="dxa"/>
            <w:bottom w:w="0" w:type="dxa"/>
            <w:right w:w="108" w:type="dxa"/>
          </w:tblCellMar>
        </w:tblPrEx>
        <w:trPr>
          <w:trHeight w:val="264" w:hRule="atLeast"/>
        </w:trPr>
        <w:tc>
          <w:tcPr>
            <w:tcW w:w="870"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收入</w:t>
            </w:r>
          </w:p>
        </w:tc>
        <w:tc>
          <w:tcPr>
            <w:tcW w:w="3476"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收入总计</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2334.27</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476"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9.05</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left"/>
              <w:rPr>
                <w:rFonts w:ascii="宋体" w:cs="Arial"/>
                <w:color w:val="000000"/>
                <w:kern w:val="0"/>
                <w:sz w:val="18"/>
                <w:szCs w:val="18"/>
              </w:rPr>
            </w:pPr>
            <w:r>
              <w:rPr>
                <w:rFonts w:hint="eastAsia" w:ascii="宋体" w:hAnsi="宋体" w:cs="Arial"/>
                <w:color w:val="000000"/>
                <w:kern w:val="0"/>
                <w:sz w:val="18"/>
                <w:szCs w:val="18"/>
              </w:rPr>
              <w:t>其中：本年收入</w:t>
            </w:r>
          </w:p>
        </w:tc>
        <w:tc>
          <w:tcPr>
            <w:tcW w:w="2585"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财政拨款收入</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2334.07</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585"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9.05</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585"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事业收入</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585"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585"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其他</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585"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70"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支出</w:t>
            </w:r>
          </w:p>
        </w:tc>
        <w:tc>
          <w:tcPr>
            <w:tcW w:w="3476"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本年支出</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9</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2334.07</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476"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10</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9.05</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left"/>
              <w:rPr>
                <w:rFonts w:ascii="宋体" w:cs="Arial"/>
                <w:color w:val="000000"/>
                <w:kern w:val="0"/>
                <w:sz w:val="18"/>
                <w:szCs w:val="18"/>
              </w:rPr>
            </w:pPr>
            <w:r>
              <w:rPr>
                <w:rFonts w:hint="eastAsia" w:ascii="宋体" w:hAnsi="宋体" w:cs="Arial"/>
                <w:color w:val="000000"/>
                <w:kern w:val="0"/>
                <w:sz w:val="18"/>
                <w:szCs w:val="18"/>
              </w:rPr>
              <w:t>其中：</w:t>
            </w:r>
          </w:p>
        </w:tc>
        <w:tc>
          <w:tcPr>
            <w:tcW w:w="870"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按支出性质</w:t>
            </w: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基本支出</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2234.06 </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11.53</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项目支出</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100.21 </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-46.24</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其他</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按支出经济分类</w:t>
            </w: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工资福利支出</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1009.81 </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5.14</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商品和服务支出</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19</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424.46</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20</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-22.88</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对个人和家庭的补助</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811.21</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31.71</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资本性支出</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88.79</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-0.9</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其他</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1"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70"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15"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70"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bl>
    <w:p>
      <w:pPr>
        <w:shd w:val="clear" w:color="auto" w:fill="FFFFFF"/>
        <w:tabs>
          <w:tab w:val="left" w:pos="1140"/>
        </w:tabs>
        <w:spacing w:before="100" w:beforeAutospacing="1" w:after="100" w:afterAutospacing="1" w:line="597" w:lineRule="exact"/>
        <w:rPr>
          <w:rFonts w:ascii="楷体" w:hAnsi="楷体" w:eastAsia="楷体" w:cs="宋体"/>
          <w:kern w:val="0"/>
          <w:sz w:val="32"/>
          <w:szCs w:val="32"/>
        </w:rPr>
      </w:pPr>
      <w:r>
        <w:rPr>
          <w:rFonts w:hint="eastAsia" w:ascii="楷体" w:hAnsi="楷体" w:eastAsia="楷体" w:cs="宋体"/>
          <w:kern w:val="0"/>
          <w:sz w:val="32"/>
          <w:szCs w:val="32"/>
        </w:rPr>
        <w:t>4.</w:t>
      </w:r>
      <w:r>
        <w:rPr>
          <w:rFonts w:hint="eastAsia" w:ascii="宋体" w:hAnsi="宋体" w:cs="宋体"/>
          <w:kern w:val="0"/>
          <w:sz w:val="32"/>
          <w:szCs w:val="32"/>
        </w:rPr>
        <w:t>财政拨款收入支出上下年对比分析表</w:t>
      </w:r>
    </w:p>
    <w:tbl>
      <w:tblPr>
        <w:tblStyle w:val="11"/>
        <w:tblW w:w="9180" w:type="dxa"/>
        <w:tblInd w:w="96" w:type="dxa"/>
        <w:tblLayout w:type="fixed"/>
        <w:tblCellMar>
          <w:top w:w="0" w:type="dxa"/>
          <w:left w:w="108" w:type="dxa"/>
          <w:bottom w:w="0" w:type="dxa"/>
          <w:right w:w="108" w:type="dxa"/>
        </w:tblCellMar>
      </w:tblPr>
      <w:tblGrid>
        <w:gridCol w:w="895"/>
        <w:gridCol w:w="896"/>
        <w:gridCol w:w="1774"/>
        <w:gridCol w:w="915"/>
        <w:gridCol w:w="898"/>
        <w:gridCol w:w="898"/>
        <w:gridCol w:w="2904"/>
      </w:tblGrid>
      <w:tr>
        <w:tblPrEx>
          <w:tblCellMar>
            <w:top w:w="0" w:type="dxa"/>
            <w:left w:w="108" w:type="dxa"/>
            <w:bottom w:w="0" w:type="dxa"/>
            <w:right w:w="108" w:type="dxa"/>
          </w:tblCellMar>
        </w:tblPrEx>
        <w:trPr>
          <w:trHeight w:val="264" w:hRule="atLeast"/>
        </w:trPr>
        <w:tc>
          <w:tcPr>
            <w:tcW w:w="5378" w:type="dxa"/>
            <w:gridSpan w:val="5"/>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行次</w:t>
            </w:r>
          </w:p>
        </w:tc>
        <w:tc>
          <w:tcPr>
            <w:tcW w:w="898" w:type="dxa"/>
            <w:vMerge w:val="restart"/>
            <w:tcBorders>
              <w:top w:val="nil"/>
              <w:left w:val="single" w:color="000000" w:sz="4" w:space="0"/>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栏次</w:t>
            </w:r>
          </w:p>
        </w:tc>
        <w:tc>
          <w:tcPr>
            <w:tcW w:w="2904" w:type="dxa"/>
            <w:tcBorders>
              <w:top w:val="nil"/>
              <w:left w:val="nil"/>
              <w:bottom w:val="single" w:color="000000" w:sz="4" w:space="0"/>
              <w:right w:val="single" w:color="000000" w:sz="4" w:space="0"/>
            </w:tcBorders>
            <w:noWrap/>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w:t>
            </w:r>
          </w:p>
        </w:tc>
      </w:tr>
      <w:tr>
        <w:tblPrEx>
          <w:tblCellMar>
            <w:top w:w="0" w:type="dxa"/>
            <w:left w:w="108" w:type="dxa"/>
            <w:bottom w:w="0" w:type="dxa"/>
            <w:right w:w="108" w:type="dxa"/>
          </w:tblCellMar>
        </w:tblPrEx>
        <w:trPr>
          <w:trHeight w:val="264" w:hRule="atLeast"/>
        </w:trPr>
        <w:tc>
          <w:tcPr>
            <w:tcW w:w="5378" w:type="dxa"/>
            <w:gridSpan w:val="5"/>
            <w:tcBorders>
              <w:top w:val="single" w:color="000000" w:sz="4" w:space="0"/>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单位名称</w:t>
            </w:r>
          </w:p>
        </w:tc>
        <w:tc>
          <w:tcPr>
            <w:tcW w:w="898" w:type="dxa"/>
            <w:vMerge w:val="continue"/>
            <w:tcBorders>
              <w:top w:val="nil"/>
              <w:left w:val="single" w:color="000000" w:sz="4" w:space="0"/>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904" w:type="dxa"/>
            <w:tcBorders>
              <w:top w:val="nil"/>
              <w:left w:val="nil"/>
              <w:bottom w:val="single" w:color="000000" w:sz="4" w:space="0"/>
              <w:right w:val="single" w:color="000000" w:sz="4" w:space="0"/>
            </w:tcBorders>
            <w:noWrap/>
            <w:vAlign w:val="center"/>
          </w:tcPr>
          <w:p>
            <w:pPr>
              <w:spacing w:line="597" w:lineRule="exact"/>
              <w:jc w:val="left"/>
              <w:rPr>
                <w:rFonts w:ascii="宋体" w:cs="Arial"/>
                <w:color w:val="000000"/>
                <w:kern w:val="0"/>
                <w:sz w:val="18"/>
                <w:szCs w:val="18"/>
              </w:rPr>
            </w:pPr>
            <w:r>
              <w:rPr>
                <w:rFonts w:hint="eastAsia" w:ascii="宋体" w:hAnsi="宋体" w:cs="Arial"/>
                <w:color w:val="000000"/>
                <w:kern w:val="0"/>
                <w:sz w:val="18"/>
                <w:szCs w:val="18"/>
              </w:rPr>
              <w:t>四川省广安市岳池县镇裕镇人民政府</w:t>
            </w:r>
          </w:p>
        </w:tc>
      </w:tr>
      <w:tr>
        <w:tblPrEx>
          <w:tblCellMar>
            <w:top w:w="0" w:type="dxa"/>
            <w:left w:w="108" w:type="dxa"/>
            <w:bottom w:w="0" w:type="dxa"/>
            <w:right w:w="108" w:type="dxa"/>
          </w:tblCellMar>
        </w:tblPrEx>
        <w:trPr>
          <w:trHeight w:val="264" w:hRule="atLeast"/>
        </w:trPr>
        <w:tc>
          <w:tcPr>
            <w:tcW w:w="895"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本年收入</w:t>
            </w: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合计</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2334.07</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9.05</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一般公共预算</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2261.54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12.61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政府性基金预算</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 xml:space="preserve">72.73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101.73</w:t>
            </w:r>
          </w:p>
        </w:tc>
      </w:tr>
      <w:tr>
        <w:tblPrEx>
          <w:tblCellMar>
            <w:top w:w="0" w:type="dxa"/>
            <w:left w:w="108" w:type="dxa"/>
            <w:bottom w:w="0" w:type="dxa"/>
            <w:right w:w="108" w:type="dxa"/>
          </w:tblCellMar>
        </w:tblPrEx>
        <w:trPr>
          <w:trHeight w:val="264" w:hRule="atLeast"/>
        </w:trPr>
        <w:tc>
          <w:tcPr>
            <w:tcW w:w="895"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本年支出</w:t>
            </w: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合计</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2334.07</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9.05</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按预算分类</w:t>
            </w: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一般公共预算</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9</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2261.54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10</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12.61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915"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hint="eastAsia" w:ascii="宋体" w:hAnsi="宋体" w:cs="Arial"/>
                <w:color w:val="000000"/>
                <w:kern w:val="0"/>
                <w:sz w:val="20"/>
                <w:szCs w:val="20"/>
              </w:rPr>
              <w:t>其中：机关运行经费</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hint="eastAsia" w:ascii="宋体" w:hAnsi="宋体" w:cs="Arial"/>
                <w:color w:val="000000"/>
                <w:kern w:val="0"/>
                <w:sz w:val="20"/>
                <w:szCs w:val="20"/>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ascii="宋体" w:hAnsi="宋体" w:cs="Arial"/>
                <w:color w:val="000000"/>
                <w:kern w:val="0"/>
                <w:sz w:val="20"/>
                <w:szCs w:val="20"/>
              </w:rPr>
              <w:t>11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20"/>
                <w:szCs w:val="20"/>
              </w:rPr>
            </w:pPr>
            <w:r>
              <w:rPr>
                <w:rFonts w:hint="eastAsia" w:ascii="宋体" w:cs="Arial"/>
                <w:color w:val="000000"/>
                <w:kern w:val="0"/>
                <w:sz w:val="18"/>
                <w:szCs w:val="18"/>
              </w:rPr>
              <w:t>2261.54</w:t>
            </w:r>
          </w:p>
        </w:tc>
      </w:tr>
      <w:tr>
        <w:tblPrEx>
          <w:tblCellMar>
            <w:top w:w="0" w:type="dxa"/>
            <w:left w:w="108" w:type="dxa"/>
            <w:bottom w:w="0" w:type="dxa"/>
            <w:right w:w="108" w:type="dxa"/>
          </w:tblCellMar>
        </w:tblPrEx>
        <w:trPr>
          <w:trHeight w:val="480"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91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20"/>
                <w:szCs w:val="20"/>
              </w:rPr>
            </w:pP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hint="eastAsia" w:ascii="宋体" w:hAnsi="宋体" w:cs="Arial"/>
                <w:color w:val="000000"/>
                <w:kern w:val="0"/>
                <w:sz w:val="20"/>
                <w:szCs w:val="20"/>
              </w:rPr>
              <w:t>比上年增减</w:t>
            </w:r>
            <w:r>
              <w:rPr>
                <w:rFonts w:ascii="宋体" w:hAnsi="宋体" w:cs="Arial"/>
                <w:color w:val="000000"/>
                <w:kern w:val="0"/>
                <w:sz w:val="20"/>
                <w:szCs w:val="20"/>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ascii="宋体" w:hAnsi="宋体" w:cs="Arial"/>
                <w:color w:val="000000"/>
                <w:kern w:val="0"/>
                <w:sz w:val="20"/>
                <w:szCs w:val="20"/>
              </w:rPr>
              <w:t>12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20"/>
                <w:szCs w:val="20"/>
              </w:rPr>
            </w:pPr>
            <w:r>
              <w:rPr>
                <w:rFonts w:hint="eastAsia" w:ascii="宋体" w:cs="Arial"/>
                <w:color w:val="000000"/>
                <w:kern w:val="0"/>
                <w:sz w:val="18"/>
                <w:szCs w:val="18"/>
              </w:rPr>
              <w:t>12.61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政府性基金预算</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 xml:space="preserve">72.73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101.73</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按支出性质</w:t>
            </w: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基本支出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2234.06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11.53</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项目支出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100.21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-46.24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按支出经济分类</w:t>
            </w: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工资福利支出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19</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1009.81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20</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5.14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商品和服务支出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424.46</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-22.88</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对个人和家庭的补助</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811.21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31.71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资本性支出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88.79</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-0.9</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其他</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bl>
    <w:p>
      <w:pPr>
        <w:ind w:left="640"/>
        <w:rPr>
          <w:rFonts w:ascii="仿宋" w:hAnsi="仿宋" w:eastAsia="仿宋" w:cs="宋体"/>
          <w:color w:val="000000"/>
          <w:kern w:val="0"/>
          <w:sz w:val="32"/>
          <w:szCs w:val="32"/>
        </w:rPr>
      </w:pPr>
    </w:p>
    <w:p>
      <w:pPr>
        <w:ind w:left="420"/>
        <w:rPr>
          <w:rFonts w:ascii="仿宋" w:hAnsi="仿宋" w:eastAsia="仿宋" w:cs="宋体"/>
          <w:color w:val="000000"/>
          <w:kern w:val="0"/>
          <w:sz w:val="32"/>
          <w:szCs w:val="32"/>
        </w:rPr>
      </w:pPr>
      <w:r>
        <w:rPr>
          <w:rFonts w:hint="eastAsia" w:ascii="仿宋" w:hAnsi="仿宋" w:eastAsia="仿宋" w:cs="宋体"/>
          <w:color w:val="000000"/>
          <w:kern w:val="0"/>
          <w:sz w:val="32"/>
          <w:szCs w:val="32"/>
        </w:rPr>
        <w:t>5.收入支出上下年度对比分析</w:t>
      </w:r>
    </w:p>
    <w:tbl>
      <w:tblPr>
        <w:tblStyle w:val="11"/>
        <w:tblW w:w="9180" w:type="dxa"/>
        <w:tblInd w:w="96" w:type="dxa"/>
        <w:tblLayout w:type="fixed"/>
        <w:tblCellMar>
          <w:top w:w="0" w:type="dxa"/>
          <w:left w:w="108" w:type="dxa"/>
          <w:bottom w:w="0" w:type="dxa"/>
          <w:right w:w="108" w:type="dxa"/>
        </w:tblCellMar>
      </w:tblPr>
      <w:tblGrid>
        <w:gridCol w:w="895"/>
        <w:gridCol w:w="896"/>
        <w:gridCol w:w="1774"/>
        <w:gridCol w:w="915"/>
        <w:gridCol w:w="898"/>
        <w:gridCol w:w="898"/>
        <w:gridCol w:w="2904"/>
      </w:tblGrid>
      <w:tr>
        <w:tblPrEx>
          <w:tblCellMar>
            <w:top w:w="0" w:type="dxa"/>
            <w:left w:w="108" w:type="dxa"/>
            <w:bottom w:w="0" w:type="dxa"/>
            <w:right w:w="108" w:type="dxa"/>
          </w:tblCellMar>
        </w:tblPrEx>
        <w:trPr>
          <w:trHeight w:val="264" w:hRule="atLeast"/>
        </w:trPr>
        <w:tc>
          <w:tcPr>
            <w:tcW w:w="5378" w:type="dxa"/>
            <w:gridSpan w:val="5"/>
            <w:tcBorders>
              <w:top w:val="single" w:color="000000" w:sz="4" w:space="0"/>
              <w:left w:val="single" w:color="000000" w:sz="4" w:space="0"/>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行次</w:t>
            </w:r>
          </w:p>
        </w:tc>
        <w:tc>
          <w:tcPr>
            <w:tcW w:w="898" w:type="dxa"/>
            <w:vMerge w:val="restart"/>
            <w:tcBorders>
              <w:top w:val="nil"/>
              <w:left w:val="single" w:color="000000" w:sz="4" w:space="0"/>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栏次</w:t>
            </w:r>
          </w:p>
        </w:tc>
        <w:tc>
          <w:tcPr>
            <w:tcW w:w="2904" w:type="dxa"/>
            <w:tcBorders>
              <w:top w:val="nil"/>
              <w:left w:val="nil"/>
              <w:bottom w:val="single" w:color="000000" w:sz="4" w:space="0"/>
              <w:right w:val="single" w:color="000000" w:sz="4" w:space="0"/>
            </w:tcBorders>
            <w:noWrap/>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w:t>
            </w:r>
          </w:p>
        </w:tc>
      </w:tr>
      <w:tr>
        <w:tblPrEx>
          <w:tblCellMar>
            <w:top w:w="0" w:type="dxa"/>
            <w:left w:w="108" w:type="dxa"/>
            <w:bottom w:w="0" w:type="dxa"/>
            <w:right w:w="108" w:type="dxa"/>
          </w:tblCellMar>
        </w:tblPrEx>
        <w:trPr>
          <w:trHeight w:val="264" w:hRule="atLeast"/>
        </w:trPr>
        <w:tc>
          <w:tcPr>
            <w:tcW w:w="5378" w:type="dxa"/>
            <w:gridSpan w:val="5"/>
            <w:tcBorders>
              <w:top w:val="single" w:color="000000" w:sz="4" w:space="0"/>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单位名称</w:t>
            </w:r>
          </w:p>
        </w:tc>
        <w:tc>
          <w:tcPr>
            <w:tcW w:w="898" w:type="dxa"/>
            <w:vMerge w:val="continue"/>
            <w:tcBorders>
              <w:top w:val="nil"/>
              <w:left w:val="single" w:color="000000" w:sz="4" w:space="0"/>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2904" w:type="dxa"/>
            <w:tcBorders>
              <w:top w:val="nil"/>
              <w:left w:val="nil"/>
              <w:bottom w:val="single" w:color="000000" w:sz="4" w:space="0"/>
              <w:right w:val="single" w:color="000000" w:sz="4" w:space="0"/>
            </w:tcBorders>
            <w:noWrap/>
            <w:vAlign w:val="center"/>
          </w:tcPr>
          <w:p>
            <w:pPr>
              <w:spacing w:line="597" w:lineRule="exact"/>
              <w:jc w:val="left"/>
              <w:rPr>
                <w:rFonts w:ascii="宋体" w:cs="Arial"/>
                <w:color w:val="000000"/>
                <w:kern w:val="0"/>
                <w:sz w:val="18"/>
                <w:szCs w:val="18"/>
              </w:rPr>
            </w:pPr>
            <w:r>
              <w:rPr>
                <w:rFonts w:hint="eastAsia" w:ascii="宋体" w:hAnsi="宋体" w:cs="Arial"/>
                <w:color w:val="000000"/>
                <w:kern w:val="0"/>
                <w:sz w:val="18"/>
                <w:szCs w:val="18"/>
              </w:rPr>
              <w:t>四川省广安市岳池县镇裕镇人民政府</w:t>
            </w:r>
          </w:p>
        </w:tc>
      </w:tr>
      <w:tr>
        <w:tblPrEx>
          <w:tblCellMar>
            <w:top w:w="0" w:type="dxa"/>
            <w:left w:w="108" w:type="dxa"/>
            <w:bottom w:w="0" w:type="dxa"/>
            <w:right w:w="108" w:type="dxa"/>
          </w:tblCellMar>
        </w:tblPrEx>
        <w:trPr>
          <w:trHeight w:val="264" w:hRule="atLeast"/>
        </w:trPr>
        <w:tc>
          <w:tcPr>
            <w:tcW w:w="895"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本年收入</w:t>
            </w: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合计</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2334.07</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9.05</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一般公共预算</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2261.54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12.61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政府性基金预算</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 xml:space="preserve">72.73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101.73</w:t>
            </w:r>
          </w:p>
        </w:tc>
      </w:tr>
      <w:tr>
        <w:tblPrEx>
          <w:tblCellMar>
            <w:top w:w="0" w:type="dxa"/>
            <w:left w:w="108" w:type="dxa"/>
            <w:bottom w:w="0" w:type="dxa"/>
            <w:right w:w="108" w:type="dxa"/>
          </w:tblCellMar>
        </w:tblPrEx>
        <w:trPr>
          <w:trHeight w:val="264" w:hRule="atLeast"/>
        </w:trPr>
        <w:tc>
          <w:tcPr>
            <w:tcW w:w="895"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本年支出</w:t>
            </w: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合计</w:t>
            </w: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2334.07</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3587" w:type="dxa"/>
            <w:gridSpan w:val="3"/>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9.05</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按预算分类</w:t>
            </w: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一般公共预算</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9</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2261.54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10</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12.61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915"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hint="eastAsia" w:ascii="宋体" w:hAnsi="宋体" w:cs="Arial"/>
                <w:color w:val="000000"/>
                <w:kern w:val="0"/>
                <w:sz w:val="20"/>
                <w:szCs w:val="20"/>
              </w:rPr>
              <w:t>其中：机关运行经费</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hint="eastAsia" w:ascii="宋体" w:hAnsi="宋体" w:cs="Arial"/>
                <w:color w:val="000000"/>
                <w:kern w:val="0"/>
                <w:sz w:val="20"/>
                <w:szCs w:val="20"/>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ascii="宋体" w:hAnsi="宋体" w:cs="Arial"/>
                <w:color w:val="000000"/>
                <w:kern w:val="0"/>
                <w:sz w:val="20"/>
                <w:szCs w:val="20"/>
              </w:rPr>
              <w:t>11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20"/>
                <w:szCs w:val="20"/>
              </w:rPr>
            </w:pPr>
            <w:r>
              <w:rPr>
                <w:rFonts w:hint="eastAsia" w:ascii="宋体" w:cs="Arial"/>
                <w:color w:val="000000"/>
                <w:kern w:val="0"/>
                <w:sz w:val="18"/>
                <w:szCs w:val="18"/>
              </w:rPr>
              <w:t>2261.54</w:t>
            </w:r>
          </w:p>
        </w:tc>
      </w:tr>
      <w:tr>
        <w:tblPrEx>
          <w:tblCellMar>
            <w:top w:w="0" w:type="dxa"/>
            <w:left w:w="108" w:type="dxa"/>
            <w:bottom w:w="0" w:type="dxa"/>
            <w:right w:w="108" w:type="dxa"/>
          </w:tblCellMar>
        </w:tblPrEx>
        <w:trPr>
          <w:trHeight w:val="480"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91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20"/>
                <w:szCs w:val="20"/>
              </w:rPr>
            </w:pP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hint="eastAsia" w:ascii="宋体" w:hAnsi="宋体" w:cs="Arial"/>
                <w:color w:val="000000"/>
                <w:kern w:val="0"/>
                <w:sz w:val="20"/>
                <w:szCs w:val="20"/>
              </w:rPr>
              <w:t>比上年增减</w:t>
            </w:r>
            <w:r>
              <w:rPr>
                <w:rFonts w:ascii="宋体" w:hAnsi="宋体" w:cs="Arial"/>
                <w:color w:val="000000"/>
                <w:kern w:val="0"/>
                <w:sz w:val="20"/>
                <w:szCs w:val="20"/>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20"/>
                <w:szCs w:val="20"/>
              </w:rPr>
            </w:pPr>
            <w:r>
              <w:rPr>
                <w:rFonts w:ascii="宋体" w:hAnsi="宋体" w:cs="Arial"/>
                <w:color w:val="000000"/>
                <w:kern w:val="0"/>
                <w:sz w:val="20"/>
                <w:szCs w:val="20"/>
              </w:rPr>
              <w:t>12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20"/>
                <w:szCs w:val="20"/>
              </w:rPr>
            </w:pPr>
            <w:r>
              <w:rPr>
                <w:rFonts w:hint="eastAsia" w:ascii="宋体" w:cs="Arial"/>
                <w:color w:val="000000"/>
                <w:kern w:val="0"/>
                <w:sz w:val="18"/>
                <w:szCs w:val="18"/>
              </w:rPr>
              <w:t>12.61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政府性基金预算</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 xml:space="preserve">72.73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hAnsi="宋体" w:cs="Arial"/>
                <w:color w:val="000000"/>
                <w:kern w:val="0"/>
                <w:sz w:val="18"/>
                <w:szCs w:val="18"/>
              </w:rPr>
              <w:t>101.73</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按支出性质</w:t>
            </w: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基本支出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2234.06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11.53</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项目支出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100.21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-46.24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按支出经济分类</w:t>
            </w: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工资福利支出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19</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 xml:space="preserve">1009.81 </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20</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5.14</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商品和服务支出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21</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424.46</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22</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-22.88</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对个人和家庭的补助</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23</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811.21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24</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31.71</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资本性支出</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25</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88.79</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26</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hint="eastAsia" w:ascii="宋体" w:cs="Arial"/>
                <w:color w:val="000000"/>
                <w:kern w:val="0"/>
                <w:sz w:val="18"/>
                <w:szCs w:val="18"/>
              </w:rPr>
              <w:t>-0.9</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restart"/>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其他</w:t>
            </w: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金额</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27</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r>
        <w:tblPrEx>
          <w:tblCellMar>
            <w:top w:w="0" w:type="dxa"/>
            <w:left w:w="108" w:type="dxa"/>
            <w:bottom w:w="0" w:type="dxa"/>
            <w:right w:w="108" w:type="dxa"/>
          </w:tblCellMar>
        </w:tblPrEx>
        <w:trPr>
          <w:trHeight w:val="264" w:hRule="atLeast"/>
        </w:trPr>
        <w:tc>
          <w:tcPr>
            <w:tcW w:w="895"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896"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774" w:type="dxa"/>
            <w:vMerge w:val="continue"/>
            <w:tcBorders>
              <w:top w:val="nil"/>
              <w:left w:val="nil"/>
              <w:bottom w:val="single" w:color="000000" w:sz="4" w:space="0"/>
              <w:right w:val="single" w:color="000000" w:sz="4" w:space="0"/>
            </w:tcBorders>
            <w:vAlign w:val="center"/>
          </w:tcPr>
          <w:p>
            <w:pPr>
              <w:spacing w:line="597" w:lineRule="exact"/>
              <w:jc w:val="left"/>
              <w:rPr>
                <w:rFonts w:ascii="宋体" w:cs="Arial"/>
                <w:color w:val="000000"/>
                <w:kern w:val="0"/>
                <w:sz w:val="18"/>
                <w:szCs w:val="18"/>
              </w:rPr>
            </w:pPr>
          </w:p>
        </w:tc>
        <w:tc>
          <w:tcPr>
            <w:tcW w:w="1813" w:type="dxa"/>
            <w:gridSpan w:val="2"/>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hint="eastAsia" w:ascii="宋体" w:hAnsi="宋体" w:cs="Arial"/>
                <w:color w:val="000000"/>
                <w:kern w:val="0"/>
                <w:sz w:val="18"/>
                <w:szCs w:val="18"/>
              </w:rPr>
              <w:t>比上年增减</w:t>
            </w:r>
            <w:r>
              <w:rPr>
                <w:rFonts w:ascii="宋体" w:hAnsi="宋体" w:cs="Arial"/>
                <w:color w:val="000000"/>
                <w:kern w:val="0"/>
                <w:sz w:val="18"/>
                <w:szCs w:val="18"/>
              </w:rPr>
              <w:t>%</w:t>
            </w:r>
          </w:p>
        </w:tc>
        <w:tc>
          <w:tcPr>
            <w:tcW w:w="898" w:type="dxa"/>
            <w:tcBorders>
              <w:top w:val="nil"/>
              <w:left w:val="nil"/>
              <w:bottom w:val="single" w:color="000000" w:sz="4" w:space="0"/>
              <w:right w:val="single" w:color="000000" w:sz="4" w:space="0"/>
            </w:tcBorders>
            <w:shd w:val="clear" w:color="FFFFFF" w:fill="C0C0C0"/>
            <w:vAlign w:val="center"/>
          </w:tcPr>
          <w:p>
            <w:pPr>
              <w:spacing w:line="597" w:lineRule="exact"/>
              <w:jc w:val="center"/>
              <w:rPr>
                <w:rFonts w:ascii="宋体" w:cs="Arial"/>
                <w:color w:val="000000"/>
                <w:kern w:val="0"/>
                <w:sz w:val="18"/>
                <w:szCs w:val="18"/>
              </w:rPr>
            </w:pPr>
            <w:r>
              <w:rPr>
                <w:rFonts w:ascii="宋体" w:hAnsi="宋体" w:cs="Arial"/>
                <w:color w:val="000000"/>
                <w:kern w:val="0"/>
                <w:sz w:val="18"/>
                <w:szCs w:val="18"/>
              </w:rPr>
              <w:t>28</w:t>
            </w:r>
          </w:p>
        </w:tc>
        <w:tc>
          <w:tcPr>
            <w:tcW w:w="2904" w:type="dxa"/>
            <w:tcBorders>
              <w:top w:val="nil"/>
              <w:left w:val="nil"/>
              <w:bottom w:val="single" w:color="000000" w:sz="4" w:space="0"/>
              <w:right w:val="single" w:color="000000" w:sz="4" w:space="0"/>
            </w:tcBorders>
            <w:noWrap/>
            <w:vAlign w:val="center"/>
          </w:tcPr>
          <w:p>
            <w:pPr>
              <w:spacing w:line="597" w:lineRule="exact"/>
              <w:jc w:val="right"/>
              <w:rPr>
                <w:rFonts w:ascii="宋体" w:cs="Arial"/>
                <w:color w:val="000000"/>
                <w:kern w:val="0"/>
                <w:sz w:val="18"/>
                <w:szCs w:val="18"/>
              </w:rPr>
            </w:pPr>
            <w:r>
              <w:rPr>
                <w:rFonts w:ascii="宋体" w:hAnsi="宋体" w:cs="Arial"/>
                <w:color w:val="000000"/>
                <w:kern w:val="0"/>
                <w:sz w:val="18"/>
                <w:szCs w:val="18"/>
              </w:rPr>
              <w:t>0.00</w:t>
            </w:r>
          </w:p>
        </w:tc>
      </w:tr>
    </w:tbl>
    <w:p>
      <w:pPr>
        <w:pStyle w:val="6"/>
      </w:pPr>
    </w:p>
    <w:p>
      <w:pPr>
        <w:ind w:left="640"/>
        <w:rPr>
          <w:rFonts w:ascii="仿宋" w:hAnsi="仿宋" w:eastAsia="仿宋" w:cs="宋体"/>
          <w:color w:val="000000"/>
          <w:kern w:val="0"/>
          <w:sz w:val="32"/>
          <w:szCs w:val="32"/>
        </w:rPr>
      </w:pP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6.支出按经济分类科目分析</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“三公”经费支出情况：支出1.04元；公务接待费支出情况：1.04万元，占预算100%。</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我镇任何重大支出都经党政联席会议研究决定，根据文件精神、国家方针政策及财经法规，制定具有正对性的管理措施，专款专用，阳光运行。</w:t>
      </w:r>
    </w:p>
    <w:p>
      <w:pPr>
        <w:spacing w:line="600" w:lineRule="exact"/>
        <w:ind w:firstLine="640" w:firstLineChars="200"/>
        <w:rPr>
          <w:rFonts w:eastAsia="仿宋_GB2312"/>
          <w:color w:val="000000"/>
          <w:sz w:val="32"/>
          <w:szCs w:val="32"/>
        </w:rPr>
      </w:pPr>
      <w:r>
        <w:rPr>
          <w:rFonts w:hint="eastAsia" w:eastAsia="仿宋_GB2312"/>
          <w:color w:val="000000"/>
          <w:sz w:val="32"/>
          <w:szCs w:val="32"/>
        </w:rPr>
        <w:t>(四)年末结转和结余情况</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2021年度本单位无资金结转结余。</w:t>
      </w:r>
    </w:p>
    <w:tbl>
      <w:tblPr>
        <w:tblStyle w:val="11"/>
        <w:tblW w:w="0" w:type="auto"/>
        <w:tblInd w:w="0" w:type="dxa"/>
        <w:tblLayout w:type="fixed"/>
        <w:tblCellMar>
          <w:top w:w="15" w:type="dxa"/>
          <w:left w:w="15" w:type="dxa"/>
          <w:bottom w:w="15" w:type="dxa"/>
          <w:right w:w="15" w:type="dxa"/>
        </w:tblCellMar>
      </w:tblPr>
      <w:tblGrid>
        <w:gridCol w:w="1079"/>
        <w:gridCol w:w="1080"/>
        <w:gridCol w:w="1080"/>
        <w:gridCol w:w="1080"/>
        <w:gridCol w:w="1154"/>
        <w:gridCol w:w="975"/>
        <w:gridCol w:w="1905"/>
      </w:tblGrid>
      <w:tr>
        <w:tblPrEx>
          <w:tblCellMar>
            <w:top w:w="15" w:type="dxa"/>
            <w:left w:w="15" w:type="dxa"/>
            <w:bottom w:w="15" w:type="dxa"/>
            <w:right w:w="15" w:type="dxa"/>
          </w:tblCellMar>
        </w:tblPrEx>
        <w:trPr>
          <w:trHeight w:val="286" w:hRule="atLeast"/>
        </w:trPr>
        <w:tc>
          <w:tcPr>
            <w:tcW w:w="5473"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975" w:type="dxa"/>
            <w:vMerge w:val="restart"/>
            <w:tcBorders>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1905" w:type="dxa"/>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r>
      <w:tr>
        <w:tblPrEx>
          <w:tblCellMar>
            <w:top w:w="15" w:type="dxa"/>
            <w:left w:w="15" w:type="dxa"/>
            <w:bottom w:w="15" w:type="dxa"/>
            <w:right w:w="15" w:type="dxa"/>
          </w:tblCellMar>
        </w:tblPrEx>
        <w:trPr>
          <w:trHeight w:val="286" w:hRule="atLeast"/>
        </w:trPr>
        <w:tc>
          <w:tcPr>
            <w:tcW w:w="5473" w:type="dxa"/>
            <w:gridSpan w:val="5"/>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单位名称</w:t>
            </w:r>
          </w:p>
        </w:tc>
        <w:tc>
          <w:tcPr>
            <w:tcW w:w="975" w:type="dxa"/>
            <w:vMerge w:val="continue"/>
            <w:tcBorders>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905" w:type="dxa"/>
            <w:tcBorders>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四川省广安市岳池县镇裕镇人民政府</w:t>
            </w:r>
          </w:p>
        </w:tc>
      </w:tr>
      <w:tr>
        <w:tblPrEx>
          <w:tblCellMar>
            <w:top w:w="15" w:type="dxa"/>
            <w:left w:w="15" w:type="dxa"/>
            <w:bottom w:w="15" w:type="dxa"/>
            <w:right w:w="15" w:type="dxa"/>
          </w:tblCellMar>
        </w:tblPrEx>
        <w:trPr>
          <w:trHeight w:val="286" w:hRule="atLeast"/>
        </w:trPr>
        <w:tc>
          <w:tcPr>
            <w:tcW w:w="1079" w:type="dxa"/>
            <w:vMerge w:val="restart"/>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年末结转和结余比上年增减情况</w:t>
            </w: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年末结转和结余</w:t>
            </w: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年末结转和结余</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其中：</w:t>
            </w:r>
          </w:p>
        </w:tc>
        <w:tc>
          <w:tcPr>
            <w:tcW w:w="2234"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财政拨款年末结转和结余</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2234"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2234"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2234"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占支出调整预算总计%</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其中：</w:t>
            </w: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基本支出结转</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项目支出结转和结余</w:t>
            </w:r>
          </w:p>
        </w:tc>
        <w:tc>
          <w:tcPr>
            <w:tcW w:w="2234"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项目支出年末结转和结余</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2234"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2234" w:type="dxa"/>
            <w:gridSpan w:val="2"/>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其中：</w:t>
            </w:r>
          </w:p>
        </w:tc>
        <w:tc>
          <w:tcPr>
            <w:tcW w:w="1154"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财政拨款年末结转和结余</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154"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1154"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年末经营结余</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left"/>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restart"/>
            <w:tcBorders>
              <w:top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事业单位基金年末结余比上年增减情况</w:t>
            </w: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事业基金结余</w:t>
            </w: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事业基金年末结余</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restart"/>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专用基金结余</w:t>
            </w: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专用基金年末结余</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比上年增减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286" w:hRule="atLeast"/>
        </w:trPr>
        <w:tc>
          <w:tcPr>
            <w:tcW w:w="1079" w:type="dxa"/>
            <w:vMerge w:val="continue"/>
            <w:tcBorders>
              <w:top w:val="single" w:color="000000" w:sz="4" w:space="0"/>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1080" w:type="dxa"/>
            <w:vMerge w:val="continue"/>
            <w:tcBorders>
              <w:bottom w:val="single" w:color="000000" w:sz="4" w:space="0"/>
              <w:right w:val="single" w:color="000000" w:sz="4" w:space="0"/>
            </w:tcBorders>
            <w:shd w:val="clear" w:color="FFFFFF" w:fill="C0C0C0"/>
            <w:noWrap/>
            <w:vAlign w:val="center"/>
          </w:tcPr>
          <w:p>
            <w:pPr>
              <w:jc w:val="center"/>
              <w:rPr>
                <w:rFonts w:ascii="宋体" w:hAnsi="宋体" w:cs="宋体"/>
                <w:color w:val="000000"/>
                <w:sz w:val="18"/>
                <w:szCs w:val="18"/>
              </w:rPr>
            </w:pPr>
          </w:p>
        </w:tc>
        <w:tc>
          <w:tcPr>
            <w:tcW w:w="3314" w:type="dxa"/>
            <w:gridSpan w:val="3"/>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增减%</w:t>
            </w:r>
          </w:p>
        </w:tc>
        <w:tc>
          <w:tcPr>
            <w:tcW w:w="975" w:type="dxa"/>
            <w:tcBorders>
              <w:bottom w:val="single" w:color="000000" w:sz="4" w:space="0"/>
              <w:right w:val="single" w:color="000000" w:sz="4" w:space="0"/>
            </w:tcBorders>
            <w:shd w:val="clear" w:color="FFFFFF" w:fill="C0C0C0"/>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905" w:type="dxa"/>
            <w:tcBorders>
              <w:bottom w:val="single" w:color="000000" w:sz="4" w:space="0"/>
              <w:right w:val="single" w:color="000000" w:sz="4" w:space="0"/>
            </w:tcBorders>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bl>
    <w:p>
      <w:pPr>
        <w:spacing w:line="600" w:lineRule="exact"/>
        <w:ind w:firstLine="640" w:firstLineChars="200"/>
        <w:rPr>
          <w:rFonts w:eastAsia="仿宋_GB2312"/>
          <w:color w:val="000000"/>
          <w:sz w:val="32"/>
          <w:szCs w:val="32"/>
        </w:rPr>
      </w:pPr>
      <w:r>
        <w:rPr>
          <w:rFonts w:hint="eastAsia" w:eastAsia="仿宋_GB2312"/>
          <w:color w:val="000000"/>
          <w:sz w:val="32"/>
          <w:szCs w:val="32"/>
        </w:rPr>
        <w:t>(五)绩效目标完成情况</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1、管理制度健全。本单位制定了财务管理制度，公务接待管理制度、干部纪律制度、督查及责任追究制度。</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2、绩效目标实现。2021年各项工作实施按照年初预算和规划进行，按时、按质完成了各项工作任务。严格按照预算执行与控制本单位的收支，特别是三公经费控制在预算范围内，执行情况较好。</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3、资金支出规范。所有资金支出进度与范围，按照绩效目标进行开展，与绩效目标相符；资金的支付符合国家财经法规和财务管理制度规定，以及有关专项资金管理办法的规定；资金拨付有完整的审批程序和手续；经费支出符合部门预算批复的用途；无截留、挪用、虚列支出等情况。</w:t>
      </w:r>
    </w:p>
    <w:p>
      <w:pPr>
        <w:spacing w:line="600" w:lineRule="exact"/>
        <w:ind w:firstLine="660" w:firstLineChars="200"/>
        <w:rPr>
          <w:rFonts w:eastAsia="方正仿宋_GBK"/>
          <w:sz w:val="33"/>
          <w:szCs w:val="33"/>
        </w:rPr>
      </w:pPr>
      <w:r>
        <w:rPr>
          <w:rFonts w:hint="eastAsia" w:eastAsia="方正仿宋_GBK"/>
          <w:sz w:val="33"/>
          <w:szCs w:val="33"/>
        </w:rPr>
        <w:t>4、预决算信息公开。部门预决算信息按规定内容，在规定的时限内予以公开。基础数据信息和会计信息资料真实、完整、准确。</w:t>
      </w:r>
    </w:p>
    <w:p>
      <w:pPr>
        <w:spacing w:line="600" w:lineRule="exact"/>
        <w:ind w:firstLine="640" w:firstLineChars="200"/>
        <w:rPr>
          <w:rFonts w:eastAsia="仿宋_GB2312"/>
          <w:color w:val="000000"/>
          <w:sz w:val="32"/>
          <w:szCs w:val="32"/>
        </w:rPr>
      </w:pPr>
      <w:r>
        <w:rPr>
          <w:rFonts w:hint="eastAsia" w:eastAsia="仿宋_GB2312"/>
          <w:color w:val="000000"/>
          <w:sz w:val="32"/>
          <w:szCs w:val="32"/>
        </w:rPr>
        <w:t xml:space="preserve"> (六)预算绩效管理工作开展情况</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强化预算绩效管理，健全机关财务管理制度,严格执行中央八项规定，不乱发奖金、钱物。增强支出责任，资金的支付符合国家财经法规和财务管理制度规定，资金拨付有完整的审批程序和手续；经费支出符合部门预算批复的用途；资金使用除部分支出预算不足有调剂使用外，无截留、挪用、虚列支出等情况。注重绩效结果应用，切实提高财政资金使用效益。</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为了更好的使用预算资金，我镇制定了一系列的管理制度，如财务管理制度、信访接待制度、档案管理制度、学习制度、印章使用管理制度、工作制度、考勤制度、接待用餐制度、水电管理制度等。各项绩效目标圆满完成，还圆满完成了县委、县政府以及上级主管部门布置的各项工作任务。财政资金严格按年初预算执行，支出合符规范性。专项资金未挪做他用，三公经费都是在可控范围内。</w:t>
      </w:r>
    </w:p>
    <w:p>
      <w:pPr>
        <w:spacing w:line="600" w:lineRule="exact"/>
        <w:ind w:firstLine="660" w:firstLineChars="200"/>
        <w:rPr>
          <w:rFonts w:ascii="方正黑体_GBK" w:hAnsi="方正黑体_GBK" w:eastAsia="方正黑体_GBK" w:cs="方正黑体_GBK"/>
          <w:sz w:val="33"/>
          <w:szCs w:val="33"/>
        </w:rPr>
      </w:pPr>
      <w:bookmarkStart w:id="32" w:name="_Toc16065"/>
    </w:p>
    <w:p>
      <w:pPr>
        <w:spacing w:line="600" w:lineRule="exact"/>
        <w:ind w:firstLine="660" w:firstLineChars="200"/>
        <w:rPr>
          <w:rFonts w:ascii="方正黑体_GBK" w:hAnsi="方正黑体_GBK" w:eastAsia="方正黑体_GBK" w:cs="方正黑体_GBK"/>
          <w:sz w:val="33"/>
          <w:szCs w:val="33"/>
        </w:rPr>
      </w:pPr>
    </w:p>
    <w:p>
      <w:pPr>
        <w:spacing w:line="600" w:lineRule="exact"/>
        <w:ind w:firstLine="660" w:firstLineChars="200"/>
        <w:rPr>
          <w:rFonts w:ascii="方正黑体_GBK" w:hAnsi="方正黑体_GBK" w:eastAsia="方正黑体_GBK" w:cs="方正黑体_GBK"/>
          <w:sz w:val="33"/>
          <w:szCs w:val="33"/>
        </w:rPr>
      </w:pPr>
    </w:p>
    <w:p>
      <w:pPr>
        <w:spacing w:line="60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三、本年度部门决算等财务工作开展情况</w:t>
      </w:r>
      <w:bookmarkEnd w:id="32"/>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(一)我单位财务管理严格按照财经法律法规执行，实行国库集中支付制度，按照上级财政部门的相关制度执行收支核算。本年度决算以镇为编报单位，由上级财政部门组织审核。</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(二)我单位决算工作公开透明，数据一律向社会公开，尤其是三公经费的公开，公开透明，接受社会群众监督。</w:t>
      </w:r>
    </w:p>
    <w:p>
      <w:pPr>
        <w:spacing w:line="590" w:lineRule="atLeast"/>
        <w:rPr>
          <w:rFonts w:ascii="宋体" w:cs="宋体"/>
          <w:b/>
          <w:bCs/>
          <w:sz w:val="32"/>
          <w:szCs w:val="32"/>
        </w:rPr>
      </w:pPr>
      <w:r>
        <w:rPr>
          <w:rFonts w:hint="eastAsia" w:ascii="方正黑体_GBK" w:hAnsi="方正黑体_GBK" w:eastAsia="方正黑体_GBK" w:cs="方正黑体_GBK"/>
          <w:sz w:val="33"/>
          <w:szCs w:val="33"/>
        </w:rPr>
        <w:t>四、存在问题</w:t>
      </w:r>
    </w:p>
    <w:p>
      <w:pPr>
        <w:spacing w:line="597" w:lineRule="exact"/>
        <w:ind w:firstLine="660" w:firstLineChars="200"/>
        <w:rPr>
          <w:rFonts w:ascii="宋体" w:cs="宋体"/>
          <w:sz w:val="32"/>
          <w:szCs w:val="32"/>
        </w:rPr>
      </w:pPr>
      <w:r>
        <w:rPr>
          <w:rFonts w:hint="eastAsia" w:eastAsia="方正仿宋_GBK"/>
          <w:sz w:val="33"/>
          <w:szCs w:val="33"/>
        </w:rPr>
        <w:t>本年其他应收款及其他应付款过大，主要是因为项目未完工结算。</w:t>
      </w:r>
    </w:p>
    <w:p>
      <w:pPr>
        <w:spacing w:line="590" w:lineRule="atLeast"/>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五、今后打算及整改措施</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rPr>
        <w:t>认真清理各种往来款项，做到与往来单位及个人进行逐一核对，及时追还欠款及按进度支付工程款项。</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方正小标宋简体" w:hAnsi="方正小标宋简体" w:eastAsia="方正小标宋简体" w:cs="方正小标宋简体"/>
          <w:sz w:val="40"/>
          <w:szCs w:val="40"/>
        </w:rPr>
      </w:pPr>
    </w:p>
    <w:p>
      <w:pPr>
        <w:spacing w:line="600" w:lineRule="exact"/>
        <w:jc w:val="center"/>
        <w:outlineLvl w:val="0"/>
        <w:rPr>
          <w:rFonts w:ascii="方正小标宋简体" w:hAnsi="方正小标宋简体" w:eastAsia="方正小标宋简体" w:cs="方正小标宋简体"/>
          <w:sz w:val="40"/>
          <w:szCs w:val="40"/>
        </w:rPr>
      </w:pPr>
    </w:p>
    <w:p>
      <w:pPr>
        <w:spacing w:line="600" w:lineRule="exact"/>
        <w:outlineLvl w:val="0"/>
        <w:rPr>
          <w:rFonts w:ascii="方正小标宋简体" w:hAnsi="方正小标宋简体" w:eastAsia="方正小标宋简体" w:cs="方正小标宋简体"/>
          <w:sz w:val="40"/>
          <w:szCs w:val="40"/>
        </w:rPr>
      </w:pPr>
    </w:p>
    <w:p>
      <w:pPr>
        <w:spacing w:line="600" w:lineRule="exact"/>
        <w:jc w:val="center"/>
        <w:outlineLvl w:val="0"/>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岳池县镇裕镇大田湾村水环境治理项目</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w:t>
      </w:r>
      <w:r>
        <w:rPr>
          <w:rFonts w:hint="eastAsia" w:ascii="方正小标宋简体" w:hAnsi="宋体" w:eastAsia="方正小标宋简体"/>
          <w:kern w:val="0"/>
          <w:sz w:val="40"/>
          <w:szCs w:val="44"/>
          <w:lang w:val="zh-CN"/>
        </w:rPr>
        <w:t>绩效评</w:t>
      </w:r>
      <w:r>
        <w:rPr>
          <w:rFonts w:hint="eastAsia" w:ascii="方正小标宋简体" w:hAnsi="宋体" w:eastAsia="方正小标宋简体"/>
          <w:kern w:val="0"/>
          <w:sz w:val="40"/>
          <w:szCs w:val="44"/>
        </w:rPr>
        <w:t>价</w:t>
      </w:r>
      <w:r>
        <w:rPr>
          <w:rFonts w:hint="eastAsia" w:ascii="方正小标宋简体" w:hAnsi="宋体" w:eastAsia="方正小标宋简体"/>
          <w:kern w:val="0"/>
          <w:sz w:val="40"/>
          <w:szCs w:val="44"/>
          <w:lang w:val="zh-CN"/>
        </w:rPr>
        <w:t>报告</w:t>
      </w:r>
    </w:p>
    <w:p>
      <w:pPr>
        <w:spacing w:line="360" w:lineRule="auto"/>
        <w:ind w:firstLine="642" w:firstLineChars="200"/>
        <w:rPr>
          <w:rFonts w:ascii="黑体" w:hAnsi="黑体" w:eastAsia="黑体" w:cs="黑体"/>
          <w:b/>
          <w:bCs/>
          <w:sz w:val="32"/>
          <w:szCs w:val="32"/>
          <w:lang w:val="zh-CN"/>
        </w:rPr>
      </w:pPr>
    </w:p>
    <w:p>
      <w:pPr>
        <w:adjustRightInd w:val="0"/>
        <w:snapToGrid w:val="0"/>
        <w:spacing w:line="360" w:lineRule="auto"/>
        <w:ind w:firstLine="642" w:firstLineChars="200"/>
        <w:rPr>
          <w:rFonts w:ascii="黑体" w:hAnsi="黑体" w:eastAsia="黑体" w:cs="黑体"/>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1．说明项目主管部门（单位）在该项目管理中的职能。</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项目主管单位：镇裕镇人民政府</w:t>
      </w:r>
    </w:p>
    <w:p>
      <w:pPr>
        <w:pStyle w:val="6"/>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职能：牵头实施项目，编制实施方案，对工程项目质量、安全生产的监管，对其在施工场地的工作人员进行安全教育；组织对承包人施工现场安 全生产检查，监督承包人及时处理发现的各种安全隐患。</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2．资金管理办法制定情况，资金支持具体项目的条件、范围与支持方式概况。</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项目资金管理方面：强化资金监管，严格履行项目管理程序，严禁挤占、截留、挪用资金，不得将资金用于与项目建设无关的支出；</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项目资金使用范围：主要支持解决大田湾村水环境治理，保证水环境治理顺利；</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项目资金支持方式：收到上级下达资金预算后立即进行人员招募，推进工作进度。</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1．项目主要内容。</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岳池县镇裕镇大田湾村水环境治理，主要负责大田湾村</w:t>
      </w:r>
      <w:r>
        <w:rPr>
          <w:rFonts w:hint="eastAsia" w:ascii="仿宋" w:hAnsi="仿宋" w:eastAsia="仿宋" w:cs="仿宋"/>
          <w:sz w:val="32"/>
          <w:szCs w:val="32"/>
          <w:lang w:eastAsia="zh-CN"/>
        </w:rPr>
        <w:t>饮用水</w:t>
      </w:r>
      <w:r>
        <w:rPr>
          <w:rFonts w:hint="eastAsia" w:ascii="仿宋" w:hAnsi="仿宋" w:eastAsia="仿宋" w:cs="仿宋"/>
          <w:sz w:val="32"/>
          <w:szCs w:val="32"/>
        </w:rPr>
        <w:t>源保护区水环境治理，包括大田湾村饮水保护区域沿线垃圾清理，水源保护区江面垃圾打捞。</w:t>
      </w:r>
    </w:p>
    <w:p>
      <w:pPr>
        <w:pStyle w:val="6"/>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rPr>
        <w:t>2.</w:t>
      </w:r>
      <w:r>
        <w:rPr>
          <w:rFonts w:hint="eastAsia" w:ascii="仿宋" w:hAnsi="仿宋" w:eastAsia="仿宋" w:cs="仿宋"/>
          <w:b/>
          <w:bCs/>
          <w:sz w:val="32"/>
          <w:szCs w:val="32"/>
          <w:lang w:val="zh-CN"/>
        </w:rPr>
        <w:t>分析评价申报内容是否与实际相符，申报目标是否合理可行。</w:t>
      </w:r>
    </w:p>
    <w:p>
      <w:pPr>
        <w:pStyle w:val="6"/>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本项目根据工作实际进行申报，申报内容与实际内容相符，申报目标合理可行。</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说明项目绩效自评采用的组织实施步骤及方法。</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首先由</w:t>
      </w:r>
      <w:r>
        <w:rPr>
          <w:rFonts w:hint="eastAsia" w:ascii="仿宋" w:hAnsi="仿宋" w:eastAsia="仿宋" w:cs="仿宋"/>
          <w:sz w:val="32"/>
          <w:szCs w:val="32"/>
        </w:rPr>
        <w:t>村建办</w:t>
      </w:r>
      <w:r>
        <w:rPr>
          <w:rFonts w:hint="eastAsia" w:ascii="仿宋" w:hAnsi="仿宋" w:eastAsia="仿宋" w:cs="仿宋"/>
          <w:sz w:val="32"/>
          <w:szCs w:val="32"/>
          <w:lang w:val="zh-CN"/>
        </w:rPr>
        <w:t>经办人员、财务人员、纪检人员共同草拟自评报告，分别报分管领导、主要领导审阅后再报送上级部门。</w:t>
      </w:r>
    </w:p>
    <w:p>
      <w:pPr>
        <w:pStyle w:val="6"/>
        <w:rPr>
          <w:sz w:val="32"/>
          <w:szCs w:val="32"/>
          <w:lang w:val="zh-CN"/>
        </w:rPr>
      </w:pPr>
    </w:p>
    <w:p>
      <w:pPr>
        <w:adjustRightInd w:val="0"/>
        <w:snapToGrid w:val="0"/>
        <w:spacing w:line="360" w:lineRule="auto"/>
        <w:ind w:firstLine="642" w:firstLineChars="200"/>
        <w:rPr>
          <w:rFonts w:ascii="黑体" w:hAnsi="黑体" w:eastAsia="黑体" w:cs="黑体"/>
          <w:b/>
          <w:bCs/>
          <w:sz w:val="32"/>
          <w:szCs w:val="32"/>
        </w:rPr>
      </w:pPr>
      <w:r>
        <w:rPr>
          <w:rFonts w:hint="eastAsia" w:ascii="黑体" w:hAnsi="黑体" w:eastAsia="黑体" w:cs="黑体"/>
          <w:b/>
          <w:bCs/>
          <w:sz w:val="32"/>
          <w:szCs w:val="32"/>
        </w:rPr>
        <w:t>二、项目资金申报及使用情况</w:t>
      </w:r>
    </w:p>
    <w:p>
      <w:pPr>
        <w:adjustRightInd w:val="0"/>
        <w:snapToGrid w:val="0"/>
        <w:spacing w:line="360" w:lineRule="auto"/>
        <w:ind w:firstLine="642" w:firstLineChars="200"/>
        <w:rPr>
          <w:rFonts w:ascii="仿宋" w:hAnsi="仿宋" w:eastAsia="仿宋" w:cs="仿宋"/>
          <w:sz w:val="32"/>
          <w:szCs w:val="32"/>
          <w:highlight w:val="magenta"/>
        </w:rPr>
      </w:pPr>
      <w:r>
        <w:rPr>
          <w:rFonts w:hint="eastAsia" w:ascii="仿宋" w:hAnsi="仿宋" w:eastAsia="仿宋" w:cs="仿宋"/>
          <w:b/>
          <w:sz w:val="32"/>
          <w:szCs w:val="32"/>
          <w:lang w:val="zh-CN"/>
        </w:rPr>
        <w:t>（一）项目资金申报及批复情况。</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zh-CN"/>
        </w:rPr>
        <w:t>此项目根据岳池县财政局关于下达</w:t>
      </w:r>
      <w:r>
        <w:rPr>
          <w:rFonts w:hint="eastAsia" w:ascii="仿宋" w:hAnsi="仿宋" w:eastAsia="仿宋" w:cs="仿宋"/>
          <w:sz w:val="32"/>
          <w:szCs w:val="32"/>
        </w:rPr>
        <w:t>通知，预算经费11万元，资金及时批复到位，符合资金管理办法等相关规定。</w:t>
      </w:r>
    </w:p>
    <w:p>
      <w:pPr>
        <w:adjustRightInd w:val="0"/>
        <w:snapToGrid w:val="0"/>
        <w:spacing w:line="360" w:lineRule="auto"/>
        <w:ind w:firstLine="642" w:firstLineChars="200"/>
        <w:rPr>
          <w:rFonts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zh-CN"/>
        </w:rPr>
        <w:t>1．资金计划。本项目在</w:t>
      </w:r>
      <w:r>
        <w:rPr>
          <w:rFonts w:hint="eastAsia" w:ascii="仿宋" w:hAnsi="仿宋" w:eastAsia="仿宋" w:cs="仿宋"/>
          <w:sz w:val="32"/>
          <w:szCs w:val="32"/>
        </w:rPr>
        <w:t>2021年</w:t>
      </w:r>
      <w:r>
        <w:rPr>
          <w:rFonts w:hint="eastAsia" w:ascii="仿宋" w:hAnsi="仿宋" w:eastAsia="仿宋" w:cs="仿宋"/>
          <w:sz w:val="32"/>
          <w:szCs w:val="32"/>
          <w:lang w:val="zh-CN"/>
        </w:rPr>
        <w:t>预算资金</w:t>
      </w:r>
      <w:r>
        <w:rPr>
          <w:rFonts w:hint="eastAsia" w:ascii="仿宋" w:hAnsi="仿宋" w:eastAsia="仿宋" w:cs="仿宋"/>
          <w:sz w:val="32"/>
          <w:szCs w:val="32"/>
        </w:rPr>
        <w:t>11.00万元，批复资金11.00万元。资金来源：财政资金。</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zh-CN"/>
        </w:rPr>
        <w:t>2．资金到位。按工程进度财政资金已到位</w:t>
      </w:r>
      <w:r>
        <w:rPr>
          <w:rFonts w:hint="eastAsia" w:ascii="仿宋" w:hAnsi="仿宋" w:eastAsia="仿宋" w:cs="仿宋"/>
          <w:sz w:val="32"/>
          <w:szCs w:val="32"/>
        </w:rPr>
        <w:t>11.00万元。</w:t>
      </w:r>
    </w:p>
    <w:p>
      <w:pPr>
        <w:pStyle w:val="6"/>
        <w:spacing w:line="360" w:lineRule="auto"/>
        <w:ind w:firstLine="640" w:firstLineChars="200"/>
        <w:rPr>
          <w:rFonts w:ascii="仿宋" w:hAnsi="仿宋" w:eastAsia="仿宋" w:cs="仿宋"/>
          <w:sz w:val="32"/>
          <w:szCs w:val="32"/>
          <w:highlight w:val="red"/>
          <w:lang w:val="zh-CN"/>
        </w:rPr>
      </w:pPr>
      <w:r>
        <w:rPr>
          <w:rFonts w:hint="eastAsia" w:ascii="仿宋" w:hAnsi="仿宋" w:eastAsia="仿宋" w:cs="仿宋"/>
          <w:sz w:val="32"/>
          <w:szCs w:val="32"/>
          <w:lang w:val="zh-CN"/>
        </w:rPr>
        <w:t>3．资金使用。该项目工程建设合规、合理，工作推进有机构，有计划，资金使用规范。</w:t>
      </w:r>
      <w:r>
        <w:rPr>
          <w:rFonts w:hint="eastAsia" w:ascii="仿宋" w:hAnsi="仿宋" w:eastAsia="仿宋" w:cs="仿宋"/>
          <w:sz w:val="32"/>
          <w:szCs w:val="32"/>
        </w:rPr>
        <w:t>我镇</w:t>
      </w:r>
      <w:r>
        <w:rPr>
          <w:rFonts w:hint="eastAsia" w:ascii="仿宋" w:hAnsi="仿宋" w:eastAsia="仿宋" w:cs="仿宋"/>
          <w:sz w:val="32"/>
          <w:szCs w:val="32"/>
          <w:lang w:val="zh-CN"/>
        </w:rPr>
        <w:t>加强项目资金的使用及管理，严格按照财政国库管理和基本建设项目资金管理有关规定，严格执行</w:t>
      </w:r>
      <w:r>
        <w:rPr>
          <w:rFonts w:hint="eastAsia" w:ascii="仿宋" w:hAnsi="仿宋" w:eastAsia="仿宋" w:cs="仿宋"/>
          <w:sz w:val="32"/>
          <w:szCs w:val="32"/>
        </w:rPr>
        <w:t>大田湾村水环境治理</w:t>
      </w:r>
      <w:r>
        <w:rPr>
          <w:rFonts w:hint="eastAsia" w:ascii="仿宋" w:hAnsi="仿宋" w:eastAsia="仿宋" w:cs="仿宋"/>
          <w:sz w:val="32"/>
          <w:szCs w:val="32"/>
          <w:lang w:val="zh-CN"/>
        </w:rPr>
        <w:t>资金的使用范围，并加强对项目资金管理和项目实施情况的监督检查。项目工程款按工程进度、合同约定报财政部门审定拨付，该项目资金在评价时点，按工程进度财政资金已支付</w:t>
      </w:r>
      <w:r>
        <w:rPr>
          <w:rFonts w:hint="eastAsia" w:ascii="仿宋" w:hAnsi="仿宋" w:eastAsia="仿宋" w:cs="仿宋"/>
          <w:sz w:val="32"/>
          <w:szCs w:val="32"/>
        </w:rPr>
        <w:t>11.00万元，支付依据合规合法，资金支付与预算相符。该项目</w:t>
      </w:r>
      <w:r>
        <w:rPr>
          <w:rFonts w:hint="eastAsia" w:ascii="仿宋" w:hAnsi="仿宋" w:eastAsia="仿宋" w:cs="仿宋"/>
          <w:sz w:val="32"/>
          <w:szCs w:val="32"/>
          <w:lang w:val="zh-CN"/>
        </w:rPr>
        <w:t>切实帮助</w:t>
      </w:r>
      <w:r>
        <w:rPr>
          <w:rFonts w:hint="eastAsia" w:ascii="仿宋" w:hAnsi="仿宋" w:eastAsia="仿宋" w:cs="仿宋"/>
          <w:sz w:val="32"/>
          <w:szCs w:val="32"/>
        </w:rPr>
        <w:t>职工</w:t>
      </w:r>
      <w:r>
        <w:rPr>
          <w:rFonts w:hint="eastAsia" w:ascii="仿宋" w:hAnsi="仿宋" w:eastAsia="仿宋" w:cs="仿宋"/>
          <w:sz w:val="32"/>
          <w:szCs w:val="32"/>
          <w:lang w:val="zh-CN"/>
        </w:rPr>
        <w:t>解决了</w:t>
      </w:r>
      <w:r>
        <w:rPr>
          <w:rFonts w:hint="eastAsia" w:ascii="仿宋" w:hAnsi="仿宋" w:eastAsia="仿宋" w:cs="仿宋"/>
          <w:sz w:val="32"/>
          <w:szCs w:val="32"/>
        </w:rPr>
        <w:t>居住</w:t>
      </w:r>
      <w:r>
        <w:rPr>
          <w:rFonts w:hint="eastAsia" w:ascii="仿宋" w:hAnsi="仿宋" w:eastAsia="仿宋" w:cs="仿宋"/>
          <w:sz w:val="32"/>
          <w:szCs w:val="32"/>
          <w:lang w:val="zh-CN"/>
        </w:rPr>
        <w:t>问题，</w:t>
      </w:r>
      <w:r>
        <w:rPr>
          <w:rFonts w:hint="eastAsia" w:ascii="仿宋" w:hAnsi="仿宋" w:eastAsia="仿宋" w:cs="仿宋"/>
          <w:sz w:val="32"/>
          <w:szCs w:val="32"/>
        </w:rPr>
        <w:t>职工</w:t>
      </w:r>
      <w:r>
        <w:rPr>
          <w:rFonts w:hint="eastAsia" w:ascii="仿宋" w:hAnsi="仿宋" w:eastAsia="仿宋" w:cs="仿宋"/>
          <w:sz w:val="32"/>
          <w:szCs w:val="32"/>
          <w:lang w:val="zh-CN"/>
        </w:rPr>
        <w:t>反响良好，取得了较好的社会效益。</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有健全的财务制度、项目合同签订、资金拨付严格按照财务管理制度进行管理，保证专款专用，资金发放复查由财务人员按照财务制度进行资金的审核、支付和核算，所有支出均以转账方式进行，在具体支付时，具备了资金发票、合同、验收清单等相关材料，手续是完善的，财务人员及时、规范对收支进行账务处理和会计核算。</w:t>
      </w:r>
    </w:p>
    <w:p>
      <w:pPr>
        <w:pStyle w:val="6"/>
        <w:rPr>
          <w:rFonts w:ascii="黑体" w:hAnsi="黑体" w:eastAsia="黑体" w:cs="黑体"/>
          <w:b/>
          <w:bCs/>
          <w:sz w:val="32"/>
          <w:szCs w:val="32"/>
          <w:lang w:val="zh-CN"/>
        </w:rPr>
      </w:pPr>
    </w:p>
    <w:p>
      <w:pPr>
        <w:adjustRightInd w:val="0"/>
        <w:snapToGrid w:val="0"/>
        <w:spacing w:line="360" w:lineRule="auto"/>
        <w:ind w:firstLine="642" w:firstLineChars="200"/>
        <w:rPr>
          <w:rFonts w:ascii="黑体" w:hAnsi="黑体" w:eastAsia="黑体" w:cs="黑体"/>
          <w:b/>
          <w:bCs/>
          <w:sz w:val="32"/>
          <w:szCs w:val="32"/>
        </w:rPr>
      </w:pPr>
      <w:r>
        <w:rPr>
          <w:rFonts w:hint="eastAsia" w:ascii="黑体" w:hAnsi="黑体" w:eastAsia="黑体" w:cs="黑体"/>
          <w:b/>
          <w:bCs/>
          <w:sz w:val="32"/>
          <w:szCs w:val="32"/>
        </w:rPr>
        <w:t>三、项目实施及管理情况</w:t>
      </w:r>
    </w:p>
    <w:p>
      <w:pPr>
        <w:numPr>
          <w:ilvl w:val="0"/>
          <w:numId w:val="5"/>
        </w:num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项目组织架构及实施流程。</w:t>
      </w:r>
      <w:r>
        <w:rPr>
          <w:rFonts w:hint="eastAsia" w:ascii="仿宋" w:hAnsi="仿宋" w:eastAsia="仿宋" w:cs="仿宋"/>
          <w:bCs/>
          <w:sz w:val="32"/>
          <w:szCs w:val="32"/>
          <w:lang w:val="zh-CN"/>
        </w:rPr>
        <w:t>本项目采取项目工作领导小组负责制，相关成员积极配合，通力合作。项目资金由财政所具体管理，对项目资金按项目单独核算，实行“专款专用</w:t>
      </w:r>
      <w:r>
        <w:rPr>
          <w:rFonts w:hint="eastAsia" w:ascii="仿宋" w:hAnsi="仿宋" w:eastAsia="仿宋" w:cs="仿宋"/>
          <w:bCs/>
          <w:sz w:val="32"/>
          <w:szCs w:val="32"/>
        </w:rPr>
        <w:t>”,指派专人对项目实施定期或不定期的检查和监督，及时协调解决困难和问题。</w:t>
      </w:r>
      <w:r>
        <w:rPr>
          <w:rFonts w:hint="eastAsia" w:ascii="仿宋" w:hAnsi="仿宋" w:eastAsia="仿宋" w:cs="仿宋"/>
          <w:bCs/>
          <w:sz w:val="32"/>
          <w:szCs w:val="32"/>
          <w:lang w:val="zh-CN"/>
        </w:rPr>
        <w:t>项目业务股室根据项目申报和经费下达情况进行项目方案编制。与有资质的施工队伍签订合同，进行</w:t>
      </w:r>
      <w:r>
        <w:rPr>
          <w:rFonts w:hint="eastAsia" w:ascii="仿宋" w:hAnsi="仿宋" w:eastAsia="仿宋" w:cs="仿宋"/>
          <w:bCs/>
          <w:sz w:val="32"/>
          <w:szCs w:val="32"/>
        </w:rPr>
        <w:t>周转房</w:t>
      </w:r>
      <w:r>
        <w:rPr>
          <w:rFonts w:hint="eastAsia" w:ascii="仿宋" w:hAnsi="仿宋" w:eastAsia="仿宋" w:cs="仿宋"/>
          <w:bCs/>
          <w:sz w:val="32"/>
          <w:szCs w:val="32"/>
          <w:lang w:val="zh-CN"/>
        </w:rPr>
        <w:t>修建。</w:t>
      </w:r>
    </w:p>
    <w:p>
      <w:pPr>
        <w:numPr>
          <w:ilvl w:val="0"/>
          <w:numId w:val="5"/>
        </w:num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项目管理情况。</w:t>
      </w:r>
    </w:p>
    <w:p>
      <w:pPr>
        <w:adjustRightInd w:val="0"/>
        <w:snapToGrid w:val="0"/>
        <w:spacing w:line="360" w:lineRule="auto"/>
        <w:ind w:firstLine="640" w:firstLineChars="200"/>
        <w:rPr>
          <w:rFonts w:ascii="仿宋" w:hAnsi="仿宋" w:eastAsia="仿宋" w:cs="仿宋"/>
          <w:bCs/>
          <w:sz w:val="32"/>
          <w:szCs w:val="32"/>
          <w:lang w:val="zh-CN"/>
        </w:rPr>
      </w:pPr>
      <w:r>
        <w:rPr>
          <w:rFonts w:hint="eastAsia" w:ascii="仿宋" w:hAnsi="仿宋" w:eastAsia="仿宋" w:cs="仿宋"/>
          <w:bCs/>
          <w:sz w:val="32"/>
          <w:szCs w:val="32"/>
          <w:lang w:val="zh-CN"/>
        </w:rPr>
        <w:t>此项目大田湾村水环境治理，服务队象为</w:t>
      </w:r>
      <w:r>
        <w:rPr>
          <w:rFonts w:hint="eastAsia" w:ascii="仿宋" w:hAnsi="仿宋" w:eastAsia="仿宋" w:cs="仿宋"/>
          <w:bCs/>
          <w:sz w:val="32"/>
          <w:szCs w:val="32"/>
        </w:rPr>
        <w:t>岳池县人民群众</w:t>
      </w:r>
      <w:r>
        <w:rPr>
          <w:rFonts w:hint="eastAsia" w:ascii="仿宋" w:hAnsi="仿宋" w:eastAsia="仿宋" w:cs="仿宋"/>
          <w:bCs/>
          <w:sz w:val="32"/>
          <w:szCs w:val="32"/>
          <w:lang w:val="zh-CN"/>
        </w:rPr>
        <w:t>。</w:t>
      </w:r>
    </w:p>
    <w:p>
      <w:pPr>
        <w:spacing w:line="360" w:lineRule="auto"/>
        <w:ind w:firstLine="642" w:firstLineChars="200"/>
        <w:rPr>
          <w:rFonts w:ascii="黑体" w:hAnsi="黑体" w:eastAsia="黑体" w:cs="黑体"/>
          <w:b/>
          <w:sz w:val="32"/>
          <w:szCs w:val="32"/>
          <w:lang w:val="zh-CN"/>
        </w:rPr>
      </w:pPr>
      <w:r>
        <w:rPr>
          <w:rFonts w:hint="eastAsia" w:ascii="黑体" w:hAnsi="黑体" w:eastAsia="黑体" w:cs="黑体"/>
          <w:b/>
          <w:sz w:val="32"/>
          <w:szCs w:val="32"/>
        </w:rPr>
        <w:t>四、项目绩效情况</w:t>
      </w:r>
      <w:r>
        <w:rPr>
          <w:rFonts w:hint="eastAsia" w:ascii="黑体" w:hAnsi="黑体" w:eastAsia="黑体" w:cs="黑体"/>
          <w:b/>
          <w:sz w:val="32"/>
          <w:szCs w:val="32"/>
          <w:lang w:val="zh-CN"/>
        </w:rPr>
        <w:tab/>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rPr>
        <w:t>我镇</w:t>
      </w:r>
      <w:r>
        <w:rPr>
          <w:rFonts w:hint="eastAsia" w:ascii="仿宋" w:hAnsi="仿宋" w:eastAsia="仿宋" w:cs="仿宋"/>
          <w:sz w:val="32"/>
          <w:szCs w:val="32"/>
          <w:lang w:val="zh-CN"/>
        </w:rPr>
        <w:t>收到上级下达的经费预算后，立即组织人员进行项目申报和组织实施工作，加强对项目的实施前、实施中、实施后的监督管理，在规定时限内完成了项目的实施。</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rPr>
        <w:t>镇裕镇大田湾村水环境治理项目</w:t>
      </w:r>
      <w:r>
        <w:rPr>
          <w:rFonts w:hint="eastAsia" w:ascii="仿宋" w:hAnsi="仿宋" w:eastAsia="仿宋" w:cs="仿宋"/>
          <w:sz w:val="32"/>
          <w:szCs w:val="32"/>
          <w:lang w:val="zh-CN"/>
        </w:rPr>
        <w:t>，管理机制规范。此项目的实施为进一步改善解</w:t>
      </w:r>
      <w:r>
        <w:rPr>
          <w:rFonts w:hint="eastAsia" w:ascii="仿宋" w:hAnsi="仿宋" w:eastAsia="仿宋" w:cs="仿宋"/>
          <w:sz w:val="32"/>
          <w:szCs w:val="32"/>
        </w:rPr>
        <w:t>决了岳池人民群众饮水</w:t>
      </w:r>
      <w:r>
        <w:rPr>
          <w:rFonts w:hint="eastAsia" w:ascii="仿宋" w:hAnsi="仿宋" w:eastAsia="仿宋" w:cs="仿宋"/>
          <w:sz w:val="32"/>
          <w:szCs w:val="32"/>
          <w:lang w:val="zh-CN"/>
        </w:rPr>
        <w:t>问题，有力的保障</w:t>
      </w:r>
      <w:r>
        <w:rPr>
          <w:rFonts w:hint="eastAsia" w:ascii="仿宋" w:hAnsi="仿宋" w:eastAsia="仿宋" w:cs="仿宋"/>
          <w:sz w:val="32"/>
          <w:szCs w:val="32"/>
        </w:rPr>
        <w:t>了岳池群众饮水健康问题，</w:t>
      </w:r>
      <w:r>
        <w:rPr>
          <w:rFonts w:hint="eastAsia" w:ascii="仿宋" w:hAnsi="仿宋" w:eastAsia="仿宋" w:cs="仿宋"/>
          <w:sz w:val="32"/>
          <w:szCs w:val="32"/>
          <w:lang w:val="zh-CN"/>
        </w:rPr>
        <w:t>受益</w:t>
      </w:r>
      <w:r>
        <w:rPr>
          <w:rFonts w:hint="eastAsia" w:ascii="仿宋" w:hAnsi="仿宋" w:eastAsia="仿宋" w:cs="仿宋"/>
          <w:sz w:val="32"/>
          <w:szCs w:val="32"/>
        </w:rPr>
        <w:t>群众</w:t>
      </w:r>
      <w:r>
        <w:rPr>
          <w:rFonts w:hint="eastAsia" w:ascii="仿宋" w:hAnsi="仿宋" w:eastAsia="仿宋" w:cs="仿宋"/>
          <w:sz w:val="32"/>
          <w:szCs w:val="32"/>
          <w:lang w:val="zh-CN"/>
        </w:rPr>
        <w:t>满意度好。</w:t>
      </w:r>
    </w:p>
    <w:p>
      <w:pPr>
        <w:pStyle w:val="6"/>
        <w:rPr>
          <w:sz w:val="32"/>
          <w:szCs w:val="32"/>
          <w:lang w:val="zh-CN"/>
        </w:rPr>
      </w:pPr>
    </w:p>
    <w:p>
      <w:pPr>
        <w:spacing w:line="360" w:lineRule="auto"/>
        <w:ind w:firstLine="642" w:firstLineChars="200"/>
        <w:rPr>
          <w:rFonts w:ascii="黑体" w:hAnsi="黑体" w:eastAsia="黑体" w:cs="黑体"/>
          <w:b/>
          <w:sz w:val="32"/>
          <w:szCs w:val="32"/>
        </w:rPr>
      </w:pPr>
      <w:r>
        <w:rPr>
          <w:rFonts w:hint="eastAsia" w:ascii="黑体" w:hAnsi="黑体" w:eastAsia="黑体" w:cs="黑体"/>
          <w:b/>
          <w:sz w:val="32"/>
          <w:szCs w:val="32"/>
        </w:rPr>
        <w:t>五、评价结论及建议</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360" w:lineRule="auto"/>
        <w:ind w:firstLine="640" w:firstLineChars="200"/>
        <w:rPr>
          <w:rFonts w:ascii="仿宋" w:hAnsi="仿宋" w:eastAsia="仿宋" w:cs="仿宋"/>
          <w:sz w:val="32"/>
          <w:szCs w:val="32"/>
          <w:bdr w:val="single" w:color="auto" w:sz="4" w:space="0"/>
          <w:lang w:val="zh-CN"/>
        </w:rPr>
      </w:pPr>
      <w:r>
        <w:rPr>
          <w:rFonts w:hint="eastAsia" w:ascii="仿宋" w:hAnsi="仿宋" w:eastAsia="仿宋" w:cs="仿宋"/>
          <w:sz w:val="32"/>
          <w:szCs w:val="32"/>
          <w:lang w:val="zh-CN"/>
        </w:rPr>
        <w:t>项目决策符合国家政策方针，管理符合相关制度要求，严格完成</w:t>
      </w:r>
      <w:r>
        <w:rPr>
          <w:rFonts w:hint="eastAsia" w:ascii="仿宋" w:hAnsi="仿宋" w:eastAsia="仿宋" w:cs="仿宋"/>
          <w:sz w:val="32"/>
          <w:szCs w:val="32"/>
        </w:rPr>
        <w:t>水环境治理</w:t>
      </w:r>
      <w:r>
        <w:rPr>
          <w:rFonts w:hint="eastAsia" w:ascii="仿宋" w:hAnsi="仿宋" w:eastAsia="仿宋" w:cs="仿宋"/>
          <w:sz w:val="32"/>
          <w:szCs w:val="32"/>
          <w:lang w:val="zh-CN"/>
        </w:rPr>
        <w:t>任务，项目的实施达到了预期的社会效益，有力的保障</w:t>
      </w:r>
      <w:r>
        <w:rPr>
          <w:rFonts w:hint="eastAsia" w:ascii="仿宋" w:hAnsi="仿宋" w:eastAsia="仿宋" w:cs="仿宋"/>
          <w:sz w:val="32"/>
          <w:szCs w:val="32"/>
        </w:rPr>
        <w:t>水环境治理</w:t>
      </w:r>
      <w:r>
        <w:rPr>
          <w:rFonts w:hint="eastAsia" w:ascii="仿宋" w:hAnsi="仿宋" w:eastAsia="仿宋" w:cs="仿宋"/>
          <w:sz w:val="32"/>
          <w:szCs w:val="32"/>
          <w:lang w:val="zh-CN"/>
        </w:rPr>
        <w:t>有效运行，解决</w:t>
      </w:r>
      <w:r>
        <w:rPr>
          <w:rFonts w:hint="eastAsia" w:ascii="仿宋" w:hAnsi="仿宋" w:eastAsia="仿宋" w:cs="仿宋"/>
          <w:sz w:val="32"/>
          <w:szCs w:val="32"/>
        </w:rPr>
        <w:t>群众饮水难</w:t>
      </w:r>
      <w:r>
        <w:rPr>
          <w:rFonts w:hint="eastAsia" w:ascii="仿宋" w:hAnsi="仿宋" w:eastAsia="仿宋" w:cs="仿宋"/>
          <w:sz w:val="32"/>
          <w:szCs w:val="32"/>
          <w:lang w:val="zh-CN"/>
        </w:rPr>
        <w:t>问题，受益</w:t>
      </w:r>
      <w:r>
        <w:rPr>
          <w:rFonts w:hint="eastAsia" w:ascii="仿宋" w:hAnsi="仿宋" w:eastAsia="仿宋" w:cs="仿宋"/>
          <w:sz w:val="32"/>
          <w:szCs w:val="32"/>
        </w:rPr>
        <w:t>群众</w:t>
      </w:r>
      <w:r>
        <w:rPr>
          <w:rFonts w:hint="eastAsia" w:ascii="仿宋" w:hAnsi="仿宋" w:eastAsia="仿宋" w:cs="仿宋"/>
          <w:sz w:val="32"/>
          <w:szCs w:val="32"/>
          <w:lang w:val="zh-CN"/>
        </w:rPr>
        <w:t>满意度好。</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w:t>
      </w:r>
      <w:r>
        <w:rPr>
          <w:rFonts w:hint="eastAsia" w:ascii="仿宋" w:hAnsi="仿宋" w:eastAsia="仿宋" w:cs="仿宋"/>
          <w:b/>
          <w:sz w:val="32"/>
          <w:szCs w:val="32"/>
        </w:rPr>
        <w:t>三</w:t>
      </w:r>
      <w:r>
        <w:rPr>
          <w:rFonts w:hint="eastAsia" w:ascii="仿宋" w:hAnsi="仿宋" w:eastAsia="仿宋" w:cs="仿宋"/>
          <w:b/>
          <w:sz w:val="32"/>
          <w:szCs w:val="32"/>
          <w:lang w:val="zh-CN"/>
        </w:rPr>
        <w:t>）相关建议。</w:t>
      </w:r>
    </w:p>
    <w:p>
      <w:pPr>
        <w:adjustRightInd w:val="0"/>
        <w:snapToGrid w:val="0"/>
        <w:spacing w:line="360" w:lineRule="auto"/>
        <w:ind w:firstLine="640" w:firstLineChars="200"/>
        <w:rPr>
          <w:rFonts w:ascii="仿宋" w:hAnsi="仿宋" w:eastAsia="仿宋" w:cs="仿宋"/>
          <w:bCs/>
          <w:sz w:val="32"/>
          <w:szCs w:val="32"/>
          <w:lang w:val="zh-CN"/>
        </w:rPr>
      </w:pPr>
      <w:r>
        <w:rPr>
          <w:rFonts w:hint="eastAsia" w:ascii="仿宋" w:hAnsi="仿宋" w:eastAsia="仿宋" w:cs="仿宋"/>
          <w:bCs/>
          <w:sz w:val="32"/>
          <w:szCs w:val="32"/>
          <w:lang w:val="zh-CN"/>
        </w:rPr>
        <w:t>无</w:t>
      </w:r>
    </w:p>
    <w:p>
      <w:pPr>
        <w:pStyle w:val="6"/>
        <w:rPr>
          <w:sz w:val="32"/>
          <w:szCs w:val="32"/>
          <w:lang w:val="zh-CN"/>
        </w:rPr>
      </w:pPr>
    </w:p>
    <w:p>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w w:val="90"/>
          <w:kern w:val="0"/>
          <w:sz w:val="40"/>
          <w:szCs w:val="44"/>
        </w:rPr>
        <w:t>2021年镇裕镇疫情防控建设项目</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w:t>
      </w:r>
      <w:r>
        <w:rPr>
          <w:rFonts w:hint="eastAsia" w:ascii="方正小标宋简体" w:hAnsi="宋体" w:eastAsia="方正小标宋简体"/>
          <w:kern w:val="0"/>
          <w:sz w:val="40"/>
          <w:szCs w:val="44"/>
          <w:lang w:val="zh-CN"/>
        </w:rPr>
        <w:t>绩效评报告</w:t>
      </w:r>
    </w:p>
    <w:p>
      <w:pPr>
        <w:spacing w:line="360" w:lineRule="auto"/>
        <w:ind w:firstLine="642" w:firstLineChars="200"/>
        <w:rPr>
          <w:rFonts w:ascii="黑体" w:hAnsi="黑体" w:eastAsia="黑体" w:cs="黑体"/>
          <w:b/>
          <w:bCs/>
          <w:sz w:val="32"/>
          <w:szCs w:val="32"/>
          <w:lang w:val="zh-CN"/>
        </w:rPr>
      </w:pPr>
    </w:p>
    <w:p>
      <w:pPr>
        <w:adjustRightInd w:val="0"/>
        <w:snapToGrid w:val="0"/>
        <w:spacing w:line="360" w:lineRule="auto"/>
        <w:ind w:firstLine="642" w:firstLineChars="200"/>
        <w:rPr>
          <w:rFonts w:ascii="黑体" w:hAnsi="黑体" w:eastAsia="黑体" w:cs="黑体"/>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1．说明项目主管部门（单位）在该项目管理中的职能。</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项目主管单位：镇裕镇人民政府</w:t>
      </w:r>
    </w:p>
    <w:p>
      <w:pPr>
        <w:pStyle w:val="6"/>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职能：牵头实施项目管理，确保资金用款到位。</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2．资金管理办法制定情况，资金支持具体项目的条件、范围与支持方式概况。</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项目资金管理方面：强化资金监管，严格履行项目管理程序，严禁挤占、截留、挪用资金，不得将资金用于与项目建设无关的支出；</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项目资金使用范围：主要支持镇裕镇疫情防控工作顺利开展；</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项目资金支持方式：收到上级下达资金预算后立即对疫情防控资金进行合理安排，对疫情防控</w:t>
      </w:r>
      <w:r>
        <w:rPr>
          <w:rFonts w:hint="eastAsia" w:ascii="仿宋" w:hAnsi="仿宋" w:eastAsia="仿宋" w:cs="仿宋"/>
          <w:sz w:val="32"/>
          <w:szCs w:val="32"/>
          <w:lang w:eastAsia="zh-CN"/>
        </w:rPr>
        <w:t>物资</w:t>
      </w:r>
      <w:r>
        <w:rPr>
          <w:rFonts w:hint="eastAsia" w:ascii="仿宋" w:hAnsi="仿宋" w:eastAsia="仿宋" w:cs="仿宋"/>
          <w:sz w:val="32"/>
          <w:szCs w:val="32"/>
        </w:rPr>
        <w:t>完成采购。</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1．项目主要内容。</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镇裕镇疫情防控</w:t>
      </w:r>
      <w:r>
        <w:rPr>
          <w:rFonts w:hint="eastAsia" w:ascii="仿宋" w:hAnsi="仿宋" w:eastAsia="仿宋" w:cs="仿宋"/>
          <w:sz w:val="32"/>
          <w:szCs w:val="32"/>
          <w:lang w:eastAsia="zh-CN"/>
        </w:rPr>
        <w:t>物资</w:t>
      </w:r>
      <w:r>
        <w:rPr>
          <w:rFonts w:hint="eastAsia" w:ascii="仿宋" w:hAnsi="仿宋" w:eastAsia="仿宋" w:cs="仿宋"/>
          <w:sz w:val="32"/>
          <w:szCs w:val="32"/>
        </w:rPr>
        <w:t>采购</w:t>
      </w:r>
    </w:p>
    <w:p>
      <w:pPr>
        <w:pStyle w:val="6"/>
        <w:numPr>
          <w:ilvl w:val="0"/>
          <w:numId w:val="0"/>
        </w:numPr>
        <w:spacing w:line="360" w:lineRule="auto"/>
        <w:ind w:firstLine="642" w:firstLineChars="200"/>
        <w:rPr>
          <w:rFonts w:hint="eastAsia" w:ascii="仿宋" w:hAnsi="仿宋" w:eastAsia="仿宋" w:cs="仿宋"/>
          <w:sz w:val="32"/>
          <w:szCs w:val="32"/>
          <w:lang w:val="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val="zh-CN"/>
        </w:rPr>
        <w:t>项目应实现的具体绩效目标，</w:t>
      </w:r>
      <w:r>
        <w:rPr>
          <w:rFonts w:hint="eastAsia" w:ascii="仿宋" w:hAnsi="仿宋" w:eastAsia="仿宋" w:cs="仿宋"/>
          <w:sz w:val="32"/>
          <w:szCs w:val="32"/>
          <w:lang w:val="zh-CN"/>
        </w:rPr>
        <w:t>包括目标的量化、细化情况以及项目实施进度计划等。</w:t>
      </w:r>
    </w:p>
    <w:p>
      <w:pPr>
        <w:adjustRightInd w:val="0"/>
        <w:snapToGrid w:val="0"/>
        <w:spacing w:line="360" w:lineRule="auto"/>
        <w:ind w:firstLine="642" w:firstLineChars="200"/>
        <w:rPr>
          <w:lang w:val="zh-CN"/>
        </w:rPr>
      </w:pPr>
      <w:r>
        <w:rPr>
          <w:rFonts w:hint="eastAsia" w:ascii="黑体" w:hAnsi="黑体" w:eastAsia="黑体" w:cs="黑体"/>
          <w:b/>
          <w:bCs/>
          <w:sz w:val="32"/>
          <w:szCs w:val="32"/>
          <w:lang w:val="zh-CN"/>
        </w:rPr>
        <w:t>二、项目实施及管理情况</w:t>
      </w:r>
    </w:p>
    <w:p>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（一）资金计划、到位及使用情况。2021年县财政拨付该项目资金</w:t>
      </w:r>
      <w:r>
        <w:rPr>
          <w:rFonts w:hint="eastAsia" w:ascii="仿宋" w:hAnsi="仿宋" w:eastAsia="仿宋" w:cs="仿宋"/>
          <w:sz w:val="32"/>
          <w:szCs w:val="32"/>
          <w:lang w:val="en-US" w:eastAsia="zh-CN"/>
        </w:rPr>
        <w:t>5.8</w:t>
      </w:r>
      <w:r>
        <w:rPr>
          <w:rFonts w:hint="eastAsia" w:ascii="仿宋" w:hAnsi="仿宋" w:eastAsia="仿宋" w:cs="仿宋"/>
          <w:sz w:val="32"/>
          <w:szCs w:val="32"/>
        </w:rPr>
        <w:t>万元，我办实际支付</w:t>
      </w:r>
      <w:r>
        <w:rPr>
          <w:rFonts w:hint="eastAsia" w:ascii="仿宋" w:hAnsi="仿宋" w:eastAsia="仿宋" w:cs="仿宋"/>
          <w:sz w:val="32"/>
          <w:szCs w:val="32"/>
          <w:lang w:val="en-US" w:eastAsia="zh-CN"/>
        </w:rPr>
        <w:t>5.8</w:t>
      </w:r>
      <w:r>
        <w:rPr>
          <w:rFonts w:hint="eastAsia" w:ascii="仿宋" w:hAnsi="仿宋" w:eastAsia="仿宋" w:cs="仿宋"/>
          <w:sz w:val="32"/>
          <w:szCs w:val="32"/>
        </w:rPr>
        <w:t>万元，主要用于支付</w:t>
      </w:r>
      <w:r>
        <w:rPr>
          <w:rFonts w:hint="eastAsia" w:ascii="仿宋" w:hAnsi="仿宋" w:eastAsia="仿宋" w:cs="仿宋"/>
          <w:sz w:val="32"/>
          <w:szCs w:val="32"/>
          <w:lang w:eastAsia="zh-CN"/>
        </w:rPr>
        <w:t>新冠肺炎疫情防控期间宣传车的租赁、宣传横幅和标识标牌制作、疫情期间预防药的采购</w:t>
      </w:r>
      <w:r>
        <w:rPr>
          <w:rFonts w:hint="eastAsia" w:ascii="仿宋" w:hAnsi="仿宋" w:eastAsia="仿宋" w:cs="仿宋"/>
          <w:sz w:val="32"/>
          <w:szCs w:val="32"/>
        </w:rPr>
        <w:t>等</w:t>
      </w:r>
      <w:r>
        <w:rPr>
          <w:rFonts w:hint="eastAsia" w:ascii="仿宋" w:hAnsi="仿宋" w:eastAsia="仿宋" w:cs="仿宋"/>
          <w:sz w:val="32"/>
          <w:szCs w:val="32"/>
          <w:lang w:eastAsia="zh-CN"/>
        </w:rPr>
        <w:t>费用</w:t>
      </w:r>
      <w:r>
        <w:rPr>
          <w:rFonts w:hint="eastAsia" w:ascii="仿宋" w:hAnsi="仿宋" w:eastAsia="仿宋" w:cs="仿宋"/>
          <w:sz w:val="32"/>
          <w:szCs w:val="32"/>
        </w:rPr>
        <w:t>。</w:t>
      </w:r>
    </w:p>
    <w:p>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（二）项目财务管理情况。该项目收入支出纳入</w:t>
      </w:r>
      <w:r>
        <w:rPr>
          <w:rFonts w:hint="eastAsia" w:ascii="仿宋" w:hAnsi="仿宋" w:eastAsia="仿宋" w:cs="仿宋"/>
          <w:sz w:val="32"/>
          <w:szCs w:val="32"/>
          <w:lang w:eastAsia="zh-CN"/>
        </w:rPr>
        <w:t>九龙街道</w:t>
      </w:r>
      <w:r>
        <w:rPr>
          <w:rFonts w:hint="eastAsia" w:ascii="仿宋" w:hAnsi="仿宋" w:eastAsia="仿宋" w:cs="仿宋"/>
          <w:sz w:val="32"/>
          <w:szCs w:val="32"/>
        </w:rPr>
        <w:t>2021年</w:t>
      </w:r>
      <w:r>
        <w:rPr>
          <w:rFonts w:hint="eastAsia" w:ascii="仿宋" w:hAnsi="仿宋" w:eastAsia="仿宋" w:cs="仿宋"/>
          <w:sz w:val="32"/>
          <w:szCs w:val="32"/>
          <w:lang w:eastAsia="zh-CN"/>
        </w:rPr>
        <w:t>机关</w:t>
      </w:r>
      <w:r>
        <w:rPr>
          <w:rFonts w:hint="eastAsia" w:ascii="仿宋" w:hAnsi="仿宋" w:eastAsia="仿宋" w:cs="仿宋"/>
          <w:sz w:val="32"/>
          <w:szCs w:val="32"/>
        </w:rPr>
        <w:t>经费账统一管理，设立了“新冠肺炎疫情防控经费项目”专项科目进行核算。</w:t>
      </w:r>
    </w:p>
    <w:p>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（三）项目组织实施情况。该项目具体由</w:t>
      </w:r>
      <w:r>
        <w:rPr>
          <w:rFonts w:hint="eastAsia" w:ascii="仿宋" w:hAnsi="仿宋" w:eastAsia="仿宋" w:cs="仿宋"/>
          <w:sz w:val="32"/>
          <w:szCs w:val="32"/>
          <w:lang w:val="en-US" w:eastAsia="zh-CN"/>
        </w:rPr>
        <w:t>镇裕镇</w:t>
      </w:r>
      <w:r>
        <w:rPr>
          <w:rFonts w:hint="eastAsia" w:ascii="仿宋" w:hAnsi="仿宋" w:eastAsia="仿宋" w:cs="仿宋"/>
          <w:sz w:val="32"/>
          <w:szCs w:val="32"/>
          <w:lang w:eastAsia="zh-CN"/>
        </w:rPr>
        <w:t>组织</w:t>
      </w:r>
      <w:r>
        <w:rPr>
          <w:rFonts w:hint="eastAsia" w:ascii="仿宋" w:hAnsi="仿宋" w:eastAsia="仿宋" w:cs="仿宋"/>
          <w:sz w:val="32"/>
          <w:szCs w:val="32"/>
        </w:rPr>
        <w:t>实施。</w:t>
      </w:r>
      <w:r>
        <w:rPr>
          <w:rFonts w:hint="eastAsia" w:ascii="仿宋" w:hAnsi="仿宋" w:eastAsia="仿宋" w:cs="仿宋"/>
          <w:sz w:val="32"/>
          <w:szCs w:val="32"/>
          <w:lang w:eastAsia="zh-CN"/>
        </w:rPr>
        <w:t>负责完成辖区内新冠肺炎疫情防控</w:t>
      </w:r>
      <w:r>
        <w:rPr>
          <w:rFonts w:hint="eastAsia" w:ascii="仿宋" w:hAnsi="仿宋" w:eastAsia="仿宋" w:cs="仿宋"/>
          <w:sz w:val="32"/>
          <w:szCs w:val="32"/>
          <w:lang w:val="en-US" w:eastAsia="zh-CN"/>
        </w:rPr>
        <w:t>任务</w:t>
      </w:r>
      <w:r>
        <w:rPr>
          <w:rFonts w:hint="eastAsia" w:ascii="仿宋" w:hAnsi="仿宋" w:eastAsia="仿宋" w:cs="仿宋"/>
          <w:sz w:val="32"/>
          <w:szCs w:val="32"/>
        </w:rPr>
        <w:t>。</w:t>
      </w:r>
    </w:p>
    <w:p>
      <w:pPr>
        <w:adjustRightInd w:val="0"/>
        <w:snapToGrid w:val="0"/>
        <w:spacing w:line="360" w:lineRule="auto"/>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p>
    <w:p>
      <w:pPr>
        <w:pStyle w:val="6"/>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（一）项目完成情况</w:t>
      </w:r>
      <w:r>
        <w:rPr>
          <w:rFonts w:hint="eastAsia" w:ascii="仿宋" w:hAnsi="仿宋" w:eastAsia="仿宋" w:cs="仿宋"/>
          <w:sz w:val="32"/>
          <w:szCs w:val="32"/>
          <w:lang w:eastAsia="zh-CN"/>
        </w:rPr>
        <w:t>。疫情防控期间，</w:t>
      </w:r>
      <w:r>
        <w:rPr>
          <w:rFonts w:hint="eastAsia" w:ascii="仿宋" w:hAnsi="仿宋" w:eastAsia="仿宋" w:cs="仿宋"/>
          <w:sz w:val="32"/>
          <w:szCs w:val="32"/>
        </w:rPr>
        <w:t>主要用于</w:t>
      </w:r>
      <w:r>
        <w:rPr>
          <w:rFonts w:hint="eastAsia" w:ascii="仿宋" w:hAnsi="仿宋" w:eastAsia="仿宋" w:cs="仿宋"/>
          <w:sz w:val="32"/>
          <w:szCs w:val="32"/>
          <w:lang w:eastAsia="zh-CN"/>
        </w:rPr>
        <w:t>新冠肺炎疫情防控期间宣传车的租赁、宣传横幅和标识标牌制作、疫情期间预防药的采购</w:t>
      </w:r>
      <w:r>
        <w:rPr>
          <w:rFonts w:hint="eastAsia" w:ascii="仿宋" w:hAnsi="仿宋" w:eastAsia="仿宋" w:cs="仿宋"/>
          <w:sz w:val="32"/>
          <w:szCs w:val="32"/>
        </w:rPr>
        <w:t>等</w:t>
      </w:r>
      <w:r>
        <w:rPr>
          <w:rFonts w:hint="eastAsia" w:ascii="仿宋" w:hAnsi="仿宋" w:eastAsia="仿宋" w:cs="仿宋"/>
          <w:sz w:val="32"/>
          <w:szCs w:val="32"/>
          <w:lang w:eastAsia="zh-CN"/>
        </w:rPr>
        <w:t>费用</w:t>
      </w:r>
      <w:r>
        <w:rPr>
          <w:rFonts w:hint="eastAsia" w:ascii="仿宋" w:hAnsi="仿宋" w:eastAsia="仿宋" w:cs="仿宋"/>
          <w:sz w:val="32"/>
          <w:szCs w:val="32"/>
        </w:rPr>
        <w:t>。</w:t>
      </w:r>
      <w:r>
        <w:rPr>
          <w:rFonts w:hint="eastAsia" w:ascii="仿宋" w:hAnsi="仿宋" w:eastAsia="仿宋" w:cs="仿宋"/>
          <w:sz w:val="32"/>
          <w:szCs w:val="32"/>
          <w:lang w:eastAsia="zh-CN"/>
        </w:rPr>
        <w:t>及时保障了新冠</w:t>
      </w:r>
      <w:r>
        <w:rPr>
          <w:rFonts w:hint="eastAsia" w:ascii="仿宋" w:hAnsi="仿宋" w:eastAsia="仿宋" w:cs="仿宋"/>
          <w:sz w:val="32"/>
          <w:szCs w:val="32"/>
          <w:lang w:val="en-US" w:eastAsia="zh-CN"/>
        </w:rPr>
        <w:t>肺炎疫情防控所需物资的采购和供给。</w:t>
      </w:r>
      <w:r>
        <w:rPr>
          <w:rFonts w:hint="eastAsia" w:ascii="仿宋" w:hAnsi="仿宋" w:eastAsia="仿宋" w:cs="仿宋"/>
          <w:sz w:val="32"/>
          <w:szCs w:val="32"/>
          <w:lang w:eastAsia="zh-CN"/>
        </w:rPr>
        <w:t>有效的遏制了新冠肺炎病毒传播。</w:t>
      </w:r>
    </w:p>
    <w:p>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（二）项目效益情况。通过努力，</w:t>
      </w:r>
      <w:r>
        <w:rPr>
          <w:rFonts w:hint="eastAsia" w:ascii="仿宋" w:hAnsi="仿宋" w:eastAsia="仿宋" w:cs="仿宋"/>
          <w:sz w:val="32"/>
          <w:szCs w:val="32"/>
          <w:lang w:val="en-US" w:eastAsia="zh-CN"/>
        </w:rPr>
        <w:t>镇裕镇</w:t>
      </w:r>
      <w:r>
        <w:rPr>
          <w:rFonts w:hint="eastAsia" w:ascii="仿宋" w:hAnsi="仿宋" w:eastAsia="仿宋" w:cs="仿宋"/>
          <w:sz w:val="32"/>
          <w:szCs w:val="32"/>
        </w:rPr>
        <w:t>辖区内2021年新冠肺炎疫情防控没出重大风险，保证了群众的身体健康未受到新冠肺炎疫情大的影响，</w:t>
      </w:r>
    </w:p>
    <w:p>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（三）自评结果。该项目</w:t>
      </w:r>
      <w:r>
        <w:rPr>
          <w:rFonts w:hint="eastAsia" w:ascii="仿宋" w:hAnsi="仿宋" w:eastAsia="仿宋" w:cs="仿宋"/>
          <w:sz w:val="32"/>
          <w:szCs w:val="32"/>
        </w:rPr>
        <w:t>经测评服务对象满意率</w:t>
      </w:r>
      <w:r>
        <w:rPr>
          <w:rFonts w:hint="eastAsia" w:ascii="仿宋" w:hAnsi="仿宋" w:eastAsia="仿宋" w:cs="仿宋"/>
          <w:sz w:val="32"/>
          <w:szCs w:val="32"/>
          <w:lang w:eastAsia="zh-CN"/>
        </w:rPr>
        <w:t>好</w:t>
      </w:r>
      <w:r>
        <w:rPr>
          <w:rFonts w:hint="eastAsia" w:ascii="仿宋" w:hAnsi="仿宋" w:eastAsia="仿宋" w:cs="仿宋"/>
          <w:sz w:val="32"/>
          <w:szCs w:val="32"/>
        </w:rPr>
        <w:t>。</w:t>
      </w:r>
    </w:p>
    <w:p>
      <w:pPr>
        <w:adjustRightInd w:val="0"/>
        <w:snapToGrid w:val="0"/>
        <w:spacing w:line="360" w:lineRule="auto"/>
        <w:ind w:firstLine="720"/>
        <w:rPr>
          <w:rFonts w:hint="eastAsia" w:ascii="黑体" w:hAnsi="黑体" w:eastAsia="黑体" w:cs="黑体"/>
          <w:b/>
          <w:bCs/>
          <w:sz w:val="32"/>
          <w:szCs w:val="32"/>
          <w:lang w:val="zh-CN"/>
        </w:rPr>
      </w:pPr>
      <w:r>
        <w:rPr>
          <w:rFonts w:hint="eastAsia" w:ascii="楷体" w:hAnsi="楷体" w:eastAsia="楷体" w:cs="楷体"/>
          <w:b/>
          <w:bCs/>
          <w:color w:val="auto"/>
          <w:sz w:val="32"/>
          <w:szCs w:val="32"/>
        </w:rPr>
        <w:t xml:space="preserve"> </w:t>
      </w:r>
      <w:r>
        <w:rPr>
          <w:rFonts w:hint="eastAsia" w:ascii="黑体" w:hAnsi="黑体" w:eastAsia="黑体" w:cs="黑体"/>
          <w:b/>
          <w:bCs/>
          <w:sz w:val="32"/>
          <w:szCs w:val="32"/>
          <w:lang w:val="zh-CN"/>
        </w:rPr>
        <w:t>四、评价结论及建议</w:t>
      </w:r>
    </w:p>
    <w:p>
      <w:pPr>
        <w:pStyle w:val="6"/>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（一）评价结论。</w:t>
      </w:r>
    </w:p>
    <w:p>
      <w:pPr>
        <w:pStyle w:val="6"/>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项目决策符合国家政策方针，管理符合相关制度要求，严格完成疫情防控任务，项目的实施达到了预期的社会效益，有力的保障人民的生命安全，受益群众满意度好。</w:t>
      </w:r>
    </w:p>
    <w:p>
      <w:pPr>
        <w:pStyle w:val="6"/>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（二）存在的问题。</w:t>
      </w:r>
    </w:p>
    <w:p>
      <w:pPr>
        <w:pStyle w:val="6"/>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pStyle w:val="6"/>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相关建议。</w:t>
      </w:r>
    </w:p>
    <w:p>
      <w:pPr>
        <w:adjustRightInd w:val="0"/>
        <w:snapToGrid w:val="0"/>
        <w:spacing w:line="360" w:lineRule="auto"/>
        <w:ind w:left="720"/>
        <w:rPr>
          <w:rFonts w:ascii="楷体" w:hAnsi="楷体" w:eastAsia="楷体" w:cs="Times New Roman"/>
          <w:sz w:val="32"/>
          <w:szCs w:val="32"/>
          <w:lang w:val="zh-CN"/>
        </w:rPr>
      </w:pPr>
      <w:r>
        <w:rPr>
          <w:rFonts w:hint="eastAsia" w:ascii="楷体" w:hAnsi="楷体" w:eastAsia="楷体" w:cs="楷体"/>
          <w:sz w:val="32"/>
          <w:szCs w:val="32"/>
          <w:lang w:val="zh-CN"/>
        </w:rPr>
        <w:t>无</w:t>
      </w:r>
    </w:p>
    <w:p>
      <w:pPr>
        <w:pStyle w:val="6"/>
        <w:rPr>
          <w:sz w:val="32"/>
          <w:szCs w:val="32"/>
          <w:lang w:val="zh-CN"/>
        </w:rPr>
      </w:pPr>
    </w:p>
    <w:p>
      <w:pPr>
        <w:rPr>
          <w:sz w:val="32"/>
          <w:szCs w:val="32"/>
          <w:lang w:val="zh-CN"/>
        </w:rPr>
      </w:pPr>
    </w:p>
    <w:p>
      <w:pPr>
        <w:pStyle w:val="2"/>
        <w:rPr>
          <w:lang w:val="zh-CN"/>
        </w:rPr>
      </w:pPr>
    </w:p>
    <w:p>
      <w:pPr>
        <w:pStyle w:val="6"/>
        <w:jc w:val="center"/>
        <w:rPr>
          <w:rFonts w:ascii="方正小标宋简体" w:hAnsi="宋体" w:eastAsia="方正小标宋简体"/>
          <w:w w:val="90"/>
          <w:kern w:val="0"/>
          <w:sz w:val="40"/>
          <w:szCs w:val="44"/>
          <w:lang w:val="zh-CN"/>
        </w:rPr>
      </w:pPr>
      <w:r>
        <w:rPr>
          <w:rFonts w:hint="eastAsia" w:ascii="方正小标宋简体" w:hAnsi="宋体" w:eastAsia="方正小标宋简体"/>
          <w:w w:val="90"/>
          <w:kern w:val="0"/>
          <w:sz w:val="40"/>
          <w:szCs w:val="44"/>
        </w:rPr>
        <w:t>镇裕镇歹溪村地质灾害治理建设项目</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w:t>
      </w:r>
      <w:r>
        <w:rPr>
          <w:rFonts w:hint="eastAsia" w:ascii="方正小标宋简体" w:hAnsi="宋体" w:eastAsia="方正小标宋简体"/>
          <w:kern w:val="0"/>
          <w:sz w:val="40"/>
          <w:szCs w:val="44"/>
          <w:lang w:val="zh-CN"/>
        </w:rPr>
        <w:t>绩效评报告</w:t>
      </w:r>
    </w:p>
    <w:p>
      <w:pPr>
        <w:spacing w:line="360" w:lineRule="auto"/>
        <w:ind w:firstLine="642" w:firstLineChars="200"/>
        <w:rPr>
          <w:rFonts w:ascii="黑体" w:hAnsi="黑体" w:eastAsia="黑体" w:cs="黑体"/>
          <w:b/>
          <w:bCs/>
          <w:sz w:val="32"/>
          <w:szCs w:val="32"/>
          <w:lang w:val="zh-CN"/>
        </w:rPr>
      </w:pPr>
    </w:p>
    <w:p>
      <w:pPr>
        <w:adjustRightInd w:val="0"/>
        <w:snapToGrid w:val="0"/>
        <w:spacing w:line="360" w:lineRule="auto"/>
        <w:ind w:firstLine="642" w:firstLineChars="200"/>
        <w:rPr>
          <w:rFonts w:ascii="黑体" w:hAnsi="黑体" w:eastAsia="黑体" w:cs="黑体"/>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1．说明项目主管部门（单位）在该项目管理中的职能。</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项目主管单位：镇裕镇人民政府</w:t>
      </w:r>
    </w:p>
    <w:p>
      <w:pPr>
        <w:pStyle w:val="6"/>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职能：牵头实施项目，编制实施方案，对工程项目质量、安全生产的监管，对其在施工场地的工作人员进行安全教育；组织对承包人施工现场安全生产检查，监督承包人及时处理发现的各种安全隐患。</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rPr>
        <w:t>2</w:t>
      </w:r>
      <w:r>
        <w:rPr>
          <w:rFonts w:hint="eastAsia" w:ascii="仿宋" w:hAnsi="仿宋" w:eastAsia="仿宋" w:cs="仿宋"/>
          <w:b/>
          <w:bCs/>
          <w:sz w:val="32"/>
          <w:szCs w:val="32"/>
          <w:lang w:val="zh-CN"/>
        </w:rPr>
        <w:t>．资金管理办法制定情况，资金支持具体项目的条件、范围与支持方式概况。</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项目资金管理方面：强化资金监管，严格履行项目管理程序，严禁挤占、截留、挪用资金，不得将资金用于与项目建设无关的支出；</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项目资金使用范围：镇裕镇歹溪村地质灾害治理建设，保证治理顺利；</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项目资金支持方式：收到上级下达资金预算后立即进行项目申报和组织实施工作，加强对项目的实施监督管理。本项目工程款的拨付均需凭计量资料、试验检测资料等有效证明材料。</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lang w:val="zh-CN"/>
        </w:rPr>
        <w:t>1．项目主要内容。</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镇裕镇歹溪村地质灾害排危。</w:t>
      </w:r>
    </w:p>
    <w:p>
      <w:pPr>
        <w:pStyle w:val="6"/>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rPr>
        <w:t>2.</w:t>
      </w:r>
      <w:r>
        <w:rPr>
          <w:rFonts w:hint="eastAsia" w:ascii="仿宋" w:hAnsi="仿宋" w:eastAsia="仿宋" w:cs="仿宋"/>
          <w:b/>
          <w:bCs/>
          <w:sz w:val="32"/>
          <w:szCs w:val="32"/>
          <w:lang w:val="zh-CN"/>
        </w:rPr>
        <w:t>项目应实现的具体绩效目标，包括目标的量化、细化情况以及项目实施进度计划等。</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此工程镇裕镇歹溪村地质灾害治理全长12米，宽1.5米，厚8米，工程质量达到协议书约定的质量标准，质量的评定以国家或行业的质量检验评定标准为依据。项目实施进度：施工方必须按工程师确认的进度计划组织施工，接受工程师对进度的检查、监督，工程实际进度与经确认的进度计划不符时，施工方应按工程师的要求提出改进措施，经工程师确认后执行。</w:t>
      </w:r>
    </w:p>
    <w:p>
      <w:pPr>
        <w:pStyle w:val="6"/>
        <w:spacing w:line="360" w:lineRule="auto"/>
        <w:ind w:firstLine="642" w:firstLineChars="200"/>
        <w:rPr>
          <w:rFonts w:ascii="仿宋" w:hAnsi="仿宋" w:eastAsia="仿宋" w:cs="仿宋"/>
          <w:b/>
          <w:bCs/>
          <w:sz w:val="32"/>
          <w:szCs w:val="32"/>
          <w:lang w:val="zh-CN"/>
        </w:rPr>
      </w:pPr>
      <w:r>
        <w:rPr>
          <w:rFonts w:hint="eastAsia" w:ascii="仿宋" w:hAnsi="仿宋" w:eastAsia="仿宋" w:cs="仿宋"/>
          <w:b/>
          <w:bCs/>
          <w:sz w:val="32"/>
          <w:szCs w:val="32"/>
        </w:rPr>
        <w:t>3.</w:t>
      </w:r>
      <w:r>
        <w:rPr>
          <w:rFonts w:hint="eastAsia" w:ascii="仿宋" w:hAnsi="仿宋" w:eastAsia="仿宋" w:cs="仿宋"/>
          <w:b/>
          <w:bCs/>
          <w:sz w:val="32"/>
          <w:szCs w:val="32"/>
          <w:lang w:val="zh-CN"/>
        </w:rPr>
        <w:t>分析评价申报内容是否与实际相符，申报目标是否合理可行。</w:t>
      </w:r>
    </w:p>
    <w:p>
      <w:pPr>
        <w:pStyle w:val="6"/>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本项目根据工作实际进行申报，申报内容与实际内容相符，申报目标合理可行。</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说明项目绩效自评采用的组织实施步骤及方法。</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首先由</w:t>
      </w:r>
      <w:r>
        <w:rPr>
          <w:rFonts w:hint="eastAsia" w:ascii="仿宋" w:hAnsi="仿宋" w:eastAsia="仿宋" w:cs="仿宋"/>
          <w:sz w:val="32"/>
          <w:szCs w:val="32"/>
        </w:rPr>
        <w:t>自规所</w:t>
      </w:r>
      <w:r>
        <w:rPr>
          <w:rFonts w:hint="eastAsia" w:ascii="仿宋" w:hAnsi="仿宋" w:eastAsia="仿宋" w:cs="仿宋"/>
          <w:sz w:val="32"/>
          <w:szCs w:val="32"/>
          <w:lang w:val="zh-CN"/>
        </w:rPr>
        <w:t>经办人员、财务人员、纪检人员共同草拟自评报告，分别报分管领导、主要领导审阅后再报送上级部门。</w:t>
      </w:r>
    </w:p>
    <w:p>
      <w:pPr>
        <w:pStyle w:val="6"/>
        <w:rPr>
          <w:sz w:val="32"/>
          <w:szCs w:val="32"/>
          <w:lang w:val="zh-CN"/>
        </w:rPr>
      </w:pPr>
    </w:p>
    <w:p>
      <w:pPr>
        <w:adjustRightInd w:val="0"/>
        <w:snapToGrid w:val="0"/>
        <w:spacing w:line="360" w:lineRule="auto"/>
        <w:ind w:firstLine="642" w:firstLineChars="200"/>
        <w:rPr>
          <w:rFonts w:ascii="黑体" w:hAnsi="黑体" w:eastAsia="黑体" w:cs="黑体"/>
          <w:b/>
          <w:bCs/>
          <w:sz w:val="32"/>
          <w:szCs w:val="32"/>
        </w:rPr>
      </w:pPr>
      <w:r>
        <w:rPr>
          <w:rFonts w:hint="eastAsia" w:ascii="黑体" w:hAnsi="黑体" w:eastAsia="黑体" w:cs="黑体"/>
          <w:b/>
          <w:bCs/>
          <w:sz w:val="32"/>
          <w:szCs w:val="32"/>
        </w:rPr>
        <w:t>二、项目资金申报及使用情况</w:t>
      </w:r>
    </w:p>
    <w:p>
      <w:pPr>
        <w:adjustRightInd w:val="0"/>
        <w:snapToGrid w:val="0"/>
        <w:spacing w:line="360" w:lineRule="auto"/>
        <w:ind w:firstLine="642" w:firstLineChars="200"/>
        <w:rPr>
          <w:rFonts w:ascii="仿宋" w:hAnsi="仿宋" w:eastAsia="仿宋" w:cs="仿宋"/>
          <w:sz w:val="32"/>
          <w:szCs w:val="32"/>
          <w:highlight w:val="magenta"/>
        </w:rPr>
      </w:pPr>
      <w:r>
        <w:rPr>
          <w:rFonts w:hint="eastAsia" w:ascii="仿宋" w:hAnsi="仿宋" w:eastAsia="仿宋" w:cs="仿宋"/>
          <w:b/>
          <w:sz w:val="32"/>
          <w:szCs w:val="32"/>
          <w:lang w:val="zh-CN"/>
        </w:rPr>
        <w:t>（一）项目资金申报及批复情况。</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zh-CN"/>
        </w:rPr>
        <w:t>此项目</w:t>
      </w:r>
      <w:r>
        <w:rPr>
          <w:rFonts w:hint="eastAsia" w:ascii="仿宋" w:hAnsi="仿宋" w:eastAsia="仿宋" w:cs="仿宋"/>
          <w:sz w:val="32"/>
          <w:szCs w:val="32"/>
        </w:rPr>
        <w:t>预算经费15.5万元，资金及时批复到位，符合资金管理办法等相关规定。</w:t>
      </w:r>
    </w:p>
    <w:p>
      <w:pPr>
        <w:adjustRightInd w:val="0"/>
        <w:snapToGrid w:val="0"/>
        <w:spacing w:line="360" w:lineRule="auto"/>
        <w:ind w:firstLine="642" w:firstLineChars="200"/>
        <w:rPr>
          <w:rFonts w:ascii="仿宋" w:hAnsi="仿宋" w:eastAsia="仿宋" w:cs="仿宋"/>
          <w:sz w:val="32"/>
          <w:szCs w:val="32"/>
          <w:lang w:val="zh-CN"/>
        </w:rPr>
      </w:pPr>
      <w:r>
        <w:rPr>
          <w:rFonts w:hint="eastAsia" w:ascii="仿宋" w:hAnsi="仿宋" w:eastAsia="仿宋" w:cs="仿宋"/>
          <w:b/>
          <w:sz w:val="32"/>
          <w:szCs w:val="32"/>
          <w:lang w:val="zh-CN"/>
        </w:rPr>
        <w:t>（二）资金计划、到位及使用情况（可用表格形式反映）。</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zh-CN"/>
        </w:rPr>
        <w:t>1．资金计划。本项目在</w:t>
      </w:r>
      <w:r>
        <w:rPr>
          <w:rFonts w:hint="eastAsia" w:ascii="仿宋" w:hAnsi="仿宋" w:eastAsia="仿宋" w:cs="仿宋"/>
          <w:sz w:val="32"/>
          <w:szCs w:val="32"/>
        </w:rPr>
        <w:t>2021年</w:t>
      </w:r>
      <w:r>
        <w:rPr>
          <w:rFonts w:hint="eastAsia" w:ascii="仿宋" w:hAnsi="仿宋" w:eastAsia="仿宋" w:cs="仿宋"/>
          <w:sz w:val="32"/>
          <w:szCs w:val="32"/>
          <w:lang w:val="zh-CN"/>
        </w:rPr>
        <w:t>预算资金</w:t>
      </w:r>
      <w:r>
        <w:rPr>
          <w:rFonts w:hint="eastAsia" w:ascii="仿宋" w:hAnsi="仿宋" w:eastAsia="仿宋" w:cs="仿宋"/>
          <w:sz w:val="32"/>
          <w:szCs w:val="32"/>
        </w:rPr>
        <w:t>15.5万元，批复资金15.5万元。资金来源：财政资金。</w:t>
      </w:r>
    </w:p>
    <w:p>
      <w:pPr>
        <w:pStyle w:val="6"/>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zh-CN"/>
        </w:rPr>
        <w:t>2．资金到位。按工程进度财政资金已到位</w:t>
      </w:r>
      <w:r>
        <w:rPr>
          <w:rFonts w:hint="eastAsia" w:ascii="仿宋" w:hAnsi="仿宋" w:eastAsia="仿宋" w:cs="仿宋"/>
          <w:sz w:val="32"/>
          <w:szCs w:val="32"/>
        </w:rPr>
        <w:t>15.5万元。</w:t>
      </w:r>
    </w:p>
    <w:p>
      <w:pPr>
        <w:pStyle w:val="6"/>
        <w:spacing w:line="360" w:lineRule="auto"/>
        <w:ind w:firstLine="640" w:firstLineChars="200"/>
        <w:rPr>
          <w:rFonts w:ascii="仿宋" w:hAnsi="仿宋" w:eastAsia="仿宋" w:cs="仿宋"/>
          <w:sz w:val="32"/>
          <w:szCs w:val="32"/>
          <w:highlight w:val="red"/>
          <w:lang w:val="zh-CN"/>
        </w:rPr>
      </w:pPr>
      <w:r>
        <w:rPr>
          <w:rFonts w:hint="eastAsia" w:ascii="仿宋" w:hAnsi="仿宋" w:eastAsia="仿宋" w:cs="仿宋"/>
          <w:sz w:val="32"/>
          <w:szCs w:val="32"/>
          <w:lang w:val="zh-CN"/>
        </w:rPr>
        <w:t>3．资金使用。该项目工程建设合规、合理，工作推进有机构，有计划，资金使用规范。</w:t>
      </w:r>
      <w:r>
        <w:rPr>
          <w:rFonts w:hint="eastAsia" w:ascii="仿宋" w:hAnsi="仿宋" w:eastAsia="仿宋" w:cs="仿宋"/>
          <w:sz w:val="32"/>
          <w:szCs w:val="32"/>
        </w:rPr>
        <w:t>我镇</w:t>
      </w:r>
      <w:r>
        <w:rPr>
          <w:rFonts w:hint="eastAsia" w:ascii="仿宋" w:hAnsi="仿宋" w:eastAsia="仿宋" w:cs="仿宋"/>
          <w:sz w:val="32"/>
          <w:szCs w:val="32"/>
          <w:lang w:val="zh-CN"/>
        </w:rPr>
        <w:t>加强项目资金的使用及管理，严格按照财政国库管理和基本建设项目资金管理有关规定，严格执行</w:t>
      </w:r>
      <w:r>
        <w:rPr>
          <w:rFonts w:hint="eastAsia" w:ascii="仿宋" w:hAnsi="仿宋" w:eastAsia="仿宋" w:cs="仿宋"/>
          <w:sz w:val="32"/>
          <w:szCs w:val="32"/>
        </w:rPr>
        <w:t>镇裕镇歹溪村地质灾害治理建设</w:t>
      </w:r>
      <w:r>
        <w:rPr>
          <w:rFonts w:hint="eastAsia" w:ascii="仿宋" w:hAnsi="仿宋" w:eastAsia="仿宋" w:cs="仿宋"/>
          <w:sz w:val="32"/>
          <w:szCs w:val="32"/>
          <w:lang w:val="zh-CN"/>
        </w:rPr>
        <w:t>资金的使用范围，并加强对项目资金管理和项目实施情况的监督检查。项目工程款按工程进度、合同约定报财政部门审定拨付，该项目资金在评价时点，按工程进度财政资金已支付</w:t>
      </w:r>
      <w:r>
        <w:rPr>
          <w:rFonts w:hint="eastAsia" w:ascii="仿宋" w:hAnsi="仿宋" w:eastAsia="仿宋" w:cs="仿宋"/>
          <w:sz w:val="32"/>
          <w:szCs w:val="32"/>
        </w:rPr>
        <w:t>15.5万元，支付依据合规合法，资金支付与预算相符。该项目有力推动乡村振兴产业化发展，在繁荣村集体经济和促进农民增收等方面发挥重要作用</w:t>
      </w:r>
      <w:r>
        <w:rPr>
          <w:rFonts w:hint="eastAsia" w:ascii="仿宋" w:hAnsi="仿宋" w:eastAsia="仿宋" w:cs="仿宋"/>
          <w:sz w:val="32"/>
          <w:szCs w:val="32"/>
          <w:lang w:val="zh-CN"/>
        </w:rPr>
        <w:t>。</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有健全的财务制度、项目合同签订、资金拨付严格按照财务管理制度进行管理，保证专款专用，资金发放复查由财务人员按照财务制度进行资金的审核、支付和核算，所有支出均以转账方式进行，在具体支付时，具备了资金发票、合同、验收清单等相关材料，手续是完善的，财务人员及时、规范对收支进行账务处理和会计核算。</w:t>
      </w:r>
    </w:p>
    <w:p>
      <w:pPr>
        <w:pStyle w:val="6"/>
        <w:rPr>
          <w:sz w:val="32"/>
          <w:szCs w:val="32"/>
          <w:lang w:val="zh-CN"/>
        </w:rPr>
      </w:pPr>
    </w:p>
    <w:p>
      <w:pPr>
        <w:adjustRightInd w:val="0"/>
        <w:snapToGrid w:val="0"/>
        <w:spacing w:line="360" w:lineRule="auto"/>
        <w:ind w:firstLine="642" w:firstLineChars="200"/>
        <w:rPr>
          <w:rFonts w:ascii="黑体" w:hAnsi="黑体" w:eastAsia="黑体" w:cs="黑体"/>
          <w:b/>
          <w:bCs/>
          <w:sz w:val="32"/>
          <w:szCs w:val="32"/>
        </w:rPr>
      </w:pPr>
      <w:r>
        <w:rPr>
          <w:rFonts w:hint="eastAsia" w:ascii="黑体" w:hAnsi="黑体" w:eastAsia="黑体" w:cs="黑体"/>
          <w:b/>
          <w:bCs/>
          <w:sz w:val="32"/>
          <w:szCs w:val="32"/>
        </w:rPr>
        <w:t>三、项目实施及管理情况</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w:t>
      </w:r>
      <w:r>
        <w:rPr>
          <w:rFonts w:hint="eastAsia" w:ascii="仿宋" w:hAnsi="仿宋" w:eastAsia="仿宋" w:cs="仿宋"/>
          <w:b/>
          <w:sz w:val="32"/>
          <w:szCs w:val="32"/>
        </w:rPr>
        <w:t>一</w:t>
      </w:r>
      <w:r>
        <w:rPr>
          <w:rFonts w:hint="eastAsia" w:ascii="仿宋" w:hAnsi="仿宋" w:eastAsia="仿宋" w:cs="仿宋"/>
          <w:b/>
          <w:sz w:val="32"/>
          <w:szCs w:val="32"/>
          <w:lang w:val="zh-CN"/>
        </w:rPr>
        <w:t>）项目组织架构及实施流程。</w:t>
      </w:r>
    </w:p>
    <w:p>
      <w:pPr>
        <w:adjustRightInd w:val="0"/>
        <w:snapToGrid w:val="0"/>
        <w:spacing w:line="360" w:lineRule="auto"/>
        <w:ind w:firstLine="640" w:firstLineChars="200"/>
        <w:rPr>
          <w:rFonts w:ascii="仿宋" w:hAnsi="仿宋" w:eastAsia="仿宋" w:cs="仿宋"/>
          <w:b/>
          <w:sz w:val="32"/>
          <w:szCs w:val="32"/>
          <w:lang w:val="zh-CN"/>
        </w:rPr>
      </w:pPr>
      <w:r>
        <w:rPr>
          <w:rFonts w:hint="eastAsia" w:ascii="仿宋" w:hAnsi="仿宋" w:eastAsia="仿宋" w:cs="仿宋"/>
          <w:bCs/>
          <w:sz w:val="32"/>
          <w:szCs w:val="32"/>
          <w:lang w:val="zh-CN"/>
        </w:rPr>
        <w:t>本项目采取项目工作领导小组负责制，相关成员积极配合，通力合作。项目资金由财政所具体管理，对项目资金按项目单独核算，实行“专款专用</w:t>
      </w:r>
      <w:r>
        <w:rPr>
          <w:rFonts w:hint="eastAsia" w:ascii="仿宋" w:hAnsi="仿宋" w:eastAsia="仿宋" w:cs="仿宋"/>
          <w:bCs/>
          <w:sz w:val="32"/>
          <w:szCs w:val="32"/>
        </w:rPr>
        <w:t>”,指派专人对项目实施定期或不定期的检查和监督，及时协调解决困难和问题。</w:t>
      </w:r>
      <w:r>
        <w:rPr>
          <w:rFonts w:hint="eastAsia" w:ascii="仿宋" w:hAnsi="仿宋" w:eastAsia="仿宋" w:cs="仿宋"/>
          <w:bCs/>
          <w:sz w:val="32"/>
          <w:szCs w:val="32"/>
          <w:lang w:val="zh-CN"/>
        </w:rPr>
        <w:t>项目业务股室根据项目申报和经费下达情况进行项目方案编制。与有资质的施工队伍签订合同，进行</w:t>
      </w:r>
      <w:r>
        <w:rPr>
          <w:rFonts w:hint="eastAsia" w:ascii="仿宋" w:hAnsi="仿宋" w:eastAsia="仿宋" w:cs="仿宋"/>
          <w:bCs/>
          <w:sz w:val="32"/>
          <w:szCs w:val="32"/>
        </w:rPr>
        <w:t>道路</w:t>
      </w:r>
      <w:r>
        <w:rPr>
          <w:rFonts w:hint="eastAsia" w:ascii="仿宋" w:hAnsi="仿宋" w:eastAsia="仿宋" w:cs="仿宋"/>
          <w:bCs/>
          <w:sz w:val="32"/>
          <w:szCs w:val="32"/>
          <w:lang w:val="zh-CN"/>
        </w:rPr>
        <w:t>修建。</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w:t>
      </w:r>
      <w:r>
        <w:rPr>
          <w:rFonts w:hint="eastAsia" w:ascii="仿宋" w:hAnsi="仿宋" w:eastAsia="仿宋" w:cs="仿宋"/>
          <w:b/>
          <w:sz w:val="32"/>
          <w:szCs w:val="32"/>
        </w:rPr>
        <w:t>二</w:t>
      </w:r>
      <w:r>
        <w:rPr>
          <w:rFonts w:hint="eastAsia" w:ascii="仿宋" w:hAnsi="仿宋" w:eastAsia="仿宋" w:cs="仿宋"/>
          <w:b/>
          <w:sz w:val="32"/>
          <w:szCs w:val="32"/>
          <w:lang w:val="zh-CN"/>
        </w:rPr>
        <w:t>）项目管理情况。</w:t>
      </w:r>
    </w:p>
    <w:p>
      <w:pPr>
        <w:adjustRightInd w:val="0"/>
        <w:snapToGrid w:val="0"/>
        <w:spacing w:line="360" w:lineRule="auto"/>
        <w:ind w:firstLine="640" w:firstLineChars="200"/>
        <w:rPr>
          <w:rFonts w:ascii="仿宋" w:hAnsi="仿宋" w:eastAsia="仿宋" w:cs="仿宋"/>
          <w:bCs/>
          <w:sz w:val="32"/>
          <w:szCs w:val="32"/>
          <w:lang w:val="zh-CN"/>
        </w:rPr>
      </w:pPr>
      <w:r>
        <w:rPr>
          <w:rFonts w:hint="eastAsia" w:ascii="仿宋" w:hAnsi="仿宋" w:eastAsia="仿宋" w:cs="仿宋"/>
          <w:bCs/>
          <w:sz w:val="32"/>
          <w:szCs w:val="32"/>
          <w:lang w:val="zh-CN"/>
        </w:rPr>
        <w:t>此项目为</w:t>
      </w:r>
      <w:r>
        <w:rPr>
          <w:rFonts w:hint="eastAsia" w:ascii="仿宋" w:hAnsi="仿宋" w:eastAsia="仿宋" w:cs="仿宋"/>
          <w:sz w:val="32"/>
          <w:szCs w:val="32"/>
        </w:rPr>
        <w:t>地质灾害治理</w:t>
      </w:r>
      <w:r>
        <w:rPr>
          <w:rFonts w:hint="eastAsia" w:ascii="仿宋" w:hAnsi="仿宋" w:eastAsia="仿宋" w:cs="仿宋"/>
          <w:color w:val="000000"/>
          <w:sz w:val="32"/>
          <w:szCs w:val="32"/>
        </w:rPr>
        <w:t>建设</w:t>
      </w:r>
      <w:r>
        <w:rPr>
          <w:rFonts w:hint="eastAsia" w:ascii="仿宋" w:hAnsi="仿宋" w:eastAsia="仿宋" w:cs="仿宋"/>
          <w:bCs/>
          <w:sz w:val="32"/>
          <w:szCs w:val="32"/>
          <w:lang w:val="zh-CN"/>
        </w:rPr>
        <w:t>，服务队象为</w:t>
      </w:r>
      <w:r>
        <w:rPr>
          <w:rFonts w:hint="eastAsia" w:ascii="仿宋" w:hAnsi="仿宋" w:eastAsia="仿宋" w:cs="仿宋"/>
          <w:bCs/>
          <w:sz w:val="32"/>
          <w:szCs w:val="32"/>
        </w:rPr>
        <w:t>镇裕镇群众</w:t>
      </w:r>
      <w:r>
        <w:rPr>
          <w:rFonts w:hint="eastAsia" w:ascii="仿宋" w:hAnsi="仿宋" w:eastAsia="仿宋" w:cs="仿宋"/>
          <w:bCs/>
          <w:sz w:val="32"/>
          <w:szCs w:val="32"/>
          <w:lang w:val="zh-CN"/>
        </w:rPr>
        <w:t>。</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w:t>
      </w:r>
      <w:r>
        <w:rPr>
          <w:rFonts w:hint="eastAsia" w:ascii="仿宋" w:hAnsi="仿宋" w:eastAsia="仿宋" w:cs="仿宋"/>
          <w:b/>
          <w:sz w:val="32"/>
          <w:szCs w:val="32"/>
        </w:rPr>
        <w:t>三</w:t>
      </w:r>
      <w:r>
        <w:rPr>
          <w:rFonts w:hint="eastAsia" w:ascii="仿宋" w:hAnsi="仿宋" w:eastAsia="仿宋" w:cs="仿宋"/>
          <w:b/>
          <w:sz w:val="32"/>
          <w:szCs w:val="32"/>
          <w:lang w:val="zh-CN"/>
        </w:rPr>
        <w:t>）项目监管情况。</w:t>
      </w:r>
    </w:p>
    <w:p>
      <w:pPr>
        <w:adjustRightInd w:val="0"/>
        <w:snapToGrid w:val="0"/>
        <w:spacing w:line="360" w:lineRule="auto"/>
        <w:ind w:firstLine="640" w:firstLineChars="200"/>
        <w:rPr>
          <w:rFonts w:ascii="仿宋" w:hAnsi="仿宋" w:eastAsia="仿宋" w:cs="仿宋"/>
          <w:bCs/>
          <w:sz w:val="32"/>
          <w:szCs w:val="32"/>
          <w:lang w:val="zh-CN"/>
        </w:rPr>
      </w:pPr>
      <w:r>
        <w:rPr>
          <w:rFonts w:hint="eastAsia" w:ascii="仿宋" w:hAnsi="仿宋" w:eastAsia="仿宋" w:cs="仿宋"/>
          <w:bCs/>
          <w:sz w:val="32"/>
          <w:szCs w:val="32"/>
          <w:lang w:val="zh-CN"/>
        </w:rPr>
        <w:t>施工队向建设单位缴纳质量保证金，承担质量保证。</w:t>
      </w:r>
      <w:r>
        <w:rPr>
          <w:rFonts w:hint="eastAsia" w:ascii="仿宋" w:hAnsi="仿宋" w:eastAsia="仿宋" w:cs="仿宋"/>
          <w:bCs/>
          <w:sz w:val="32"/>
          <w:szCs w:val="32"/>
        </w:rPr>
        <w:t>我镇</w:t>
      </w:r>
      <w:r>
        <w:rPr>
          <w:rFonts w:hint="eastAsia" w:ascii="仿宋" w:hAnsi="仿宋" w:eastAsia="仿宋" w:cs="仿宋"/>
          <w:bCs/>
          <w:sz w:val="32"/>
          <w:szCs w:val="32"/>
          <w:lang w:val="zh-CN"/>
        </w:rPr>
        <w:t>抽调熟悉建筑业务、责任心强的专人加强建筑施工现场管理、负责工程质量、安全生产监督、检查。通过采取多项措施，建设质量得到了有效保障，安全生产得到了加强，确保了</w:t>
      </w:r>
      <w:r>
        <w:rPr>
          <w:rFonts w:hint="eastAsia" w:ascii="仿宋" w:hAnsi="仿宋" w:eastAsia="仿宋" w:cs="仿宋"/>
          <w:sz w:val="32"/>
          <w:szCs w:val="32"/>
        </w:rPr>
        <w:t>镇裕镇歹溪村地质灾害治理建设</w:t>
      </w:r>
      <w:r>
        <w:rPr>
          <w:rFonts w:hint="eastAsia" w:ascii="仿宋" w:hAnsi="仿宋" w:eastAsia="仿宋" w:cs="仿宋"/>
          <w:bCs/>
          <w:sz w:val="32"/>
          <w:szCs w:val="32"/>
          <w:lang w:val="zh-CN"/>
        </w:rPr>
        <w:t>顺利进行，实现了标准高、质量好的目标；加强检查督办力度，确保</w:t>
      </w:r>
      <w:r>
        <w:rPr>
          <w:rFonts w:hint="eastAsia" w:ascii="仿宋" w:hAnsi="仿宋" w:eastAsia="仿宋" w:cs="仿宋"/>
          <w:bCs/>
          <w:sz w:val="32"/>
          <w:szCs w:val="32"/>
        </w:rPr>
        <w:t>治理</w:t>
      </w:r>
      <w:r>
        <w:rPr>
          <w:rFonts w:hint="eastAsia" w:ascii="仿宋" w:hAnsi="仿宋" w:eastAsia="仿宋" w:cs="仿宋"/>
          <w:bCs/>
          <w:sz w:val="32"/>
          <w:szCs w:val="32"/>
          <w:lang w:val="zh-CN"/>
        </w:rPr>
        <w:t>建设工程落到实处。</w:t>
      </w:r>
    </w:p>
    <w:p>
      <w:pPr>
        <w:pStyle w:val="6"/>
        <w:rPr>
          <w:sz w:val="32"/>
          <w:szCs w:val="32"/>
          <w:lang w:val="zh-CN"/>
        </w:rPr>
      </w:pPr>
    </w:p>
    <w:p>
      <w:pPr>
        <w:adjustRightInd w:val="0"/>
        <w:snapToGrid w:val="0"/>
        <w:spacing w:line="360" w:lineRule="auto"/>
        <w:ind w:firstLine="642" w:firstLineChars="200"/>
        <w:rPr>
          <w:rFonts w:ascii="仿宋" w:hAnsi="仿宋" w:eastAsia="仿宋" w:cs="仿宋"/>
          <w:b/>
          <w:bCs/>
          <w:sz w:val="32"/>
          <w:szCs w:val="32"/>
          <w:lang w:val="zh-CN"/>
        </w:rPr>
      </w:pPr>
      <w:r>
        <w:rPr>
          <w:rFonts w:hint="eastAsia" w:ascii="黑体" w:hAnsi="黑体" w:eastAsia="黑体" w:cs="黑体"/>
          <w:b/>
          <w:bCs/>
          <w:sz w:val="32"/>
          <w:szCs w:val="32"/>
        </w:rPr>
        <w:t>四、项目绩效情况</w:t>
      </w:r>
      <w:r>
        <w:rPr>
          <w:rFonts w:hint="eastAsia" w:ascii="仿宋" w:hAnsi="仿宋" w:eastAsia="仿宋" w:cs="仿宋"/>
          <w:b/>
          <w:bCs/>
          <w:sz w:val="32"/>
          <w:szCs w:val="32"/>
          <w:lang w:val="zh-CN"/>
        </w:rPr>
        <w:tab/>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rPr>
        <w:t>我镇</w:t>
      </w:r>
      <w:r>
        <w:rPr>
          <w:rFonts w:hint="eastAsia" w:ascii="仿宋" w:hAnsi="仿宋" w:eastAsia="仿宋" w:cs="仿宋"/>
          <w:sz w:val="32"/>
          <w:szCs w:val="32"/>
          <w:lang w:val="zh-CN"/>
        </w:rPr>
        <w:t>收到上级下达的经费预算后，立即组织人员进行项目申报和组织实施工作，加强对项目的实施前、实施中、实施后的监督管理，在规定时限内完成了项目的实施。</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rPr>
        <w:t>镇裕镇歹溪村地质灾害治理建设</w:t>
      </w:r>
      <w:r>
        <w:rPr>
          <w:rFonts w:hint="eastAsia" w:ascii="仿宋" w:hAnsi="仿宋" w:eastAsia="仿宋" w:cs="仿宋"/>
          <w:sz w:val="32"/>
          <w:szCs w:val="32"/>
          <w:lang w:val="zh-CN"/>
        </w:rPr>
        <w:t>工程责任机构明确，管理机制规范。此项目的实施为进一步</w:t>
      </w:r>
      <w:r>
        <w:rPr>
          <w:rFonts w:hint="eastAsia" w:ascii="仿宋" w:hAnsi="仿宋" w:eastAsia="仿宋" w:cs="仿宋"/>
          <w:sz w:val="32"/>
          <w:szCs w:val="32"/>
        </w:rPr>
        <w:t>解决群众出行问题</w:t>
      </w:r>
      <w:r>
        <w:rPr>
          <w:rFonts w:hint="eastAsia" w:ascii="仿宋" w:hAnsi="仿宋" w:eastAsia="仿宋" w:cs="仿宋"/>
          <w:sz w:val="32"/>
          <w:szCs w:val="32"/>
          <w:lang w:val="zh-CN"/>
        </w:rPr>
        <w:t>，</w:t>
      </w:r>
      <w:r>
        <w:rPr>
          <w:rFonts w:hint="eastAsia" w:ascii="仿宋" w:hAnsi="仿宋" w:eastAsia="仿宋" w:cs="仿宋"/>
          <w:sz w:val="32"/>
          <w:szCs w:val="32"/>
        </w:rPr>
        <w:t>地质灾害治理有力推动乡村振兴产业化发展，在繁荣村集体经济和促进农民增收等方面发挥重要作用，</w:t>
      </w:r>
      <w:r>
        <w:rPr>
          <w:rFonts w:hint="eastAsia" w:ascii="仿宋" w:hAnsi="仿宋" w:eastAsia="仿宋" w:cs="仿宋"/>
          <w:sz w:val="32"/>
          <w:szCs w:val="32"/>
          <w:lang w:val="zh-CN"/>
        </w:rPr>
        <w:t>受益群众满意度好。</w:t>
      </w:r>
    </w:p>
    <w:p>
      <w:pPr>
        <w:pStyle w:val="6"/>
        <w:rPr>
          <w:rFonts w:ascii="黑体" w:hAnsi="黑体" w:eastAsia="黑体" w:cs="黑体"/>
          <w:sz w:val="32"/>
          <w:szCs w:val="32"/>
          <w:lang w:val="zh-CN"/>
        </w:rPr>
      </w:pPr>
    </w:p>
    <w:p>
      <w:pPr>
        <w:adjustRightInd w:val="0"/>
        <w:snapToGrid w:val="0"/>
        <w:spacing w:line="360" w:lineRule="auto"/>
        <w:ind w:firstLine="642" w:firstLineChars="200"/>
        <w:rPr>
          <w:rFonts w:ascii="黑体" w:hAnsi="黑体" w:eastAsia="黑体" w:cs="黑体"/>
          <w:b/>
          <w:bCs/>
          <w:sz w:val="32"/>
          <w:szCs w:val="32"/>
        </w:rPr>
      </w:pPr>
      <w:r>
        <w:rPr>
          <w:rFonts w:hint="eastAsia" w:ascii="黑体" w:hAnsi="黑体" w:eastAsia="黑体" w:cs="黑体"/>
          <w:b/>
          <w:bCs/>
          <w:sz w:val="32"/>
          <w:szCs w:val="32"/>
        </w:rPr>
        <w:t>五、评价结论及建议</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360" w:lineRule="auto"/>
        <w:ind w:firstLine="640" w:firstLineChars="200"/>
        <w:rPr>
          <w:rFonts w:ascii="仿宋" w:hAnsi="仿宋" w:eastAsia="仿宋" w:cs="仿宋"/>
          <w:sz w:val="32"/>
          <w:szCs w:val="32"/>
          <w:bdr w:val="single" w:color="auto" w:sz="4" w:space="0"/>
          <w:lang w:val="zh-CN"/>
        </w:rPr>
      </w:pPr>
      <w:r>
        <w:rPr>
          <w:rFonts w:hint="eastAsia" w:ascii="仿宋" w:hAnsi="仿宋" w:eastAsia="仿宋" w:cs="仿宋"/>
          <w:sz w:val="32"/>
          <w:szCs w:val="32"/>
          <w:lang w:val="zh-CN"/>
        </w:rPr>
        <w:t>项目决策符合国家政策方针，管理符合相关制度要求，严格完成</w:t>
      </w:r>
      <w:r>
        <w:rPr>
          <w:rFonts w:hint="eastAsia" w:ascii="仿宋" w:hAnsi="仿宋" w:eastAsia="仿宋" w:cs="仿宋"/>
          <w:sz w:val="32"/>
          <w:szCs w:val="32"/>
        </w:rPr>
        <w:t>公路</w:t>
      </w:r>
      <w:r>
        <w:rPr>
          <w:rFonts w:hint="eastAsia" w:ascii="仿宋" w:hAnsi="仿宋" w:eastAsia="仿宋" w:cs="仿宋"/>
          <w:sz w:val="32"/>
          <w:szCs w:val="32"/>
          <w:lang w:val="zh-CN"/>
        </w:rPr>
        <w:t>修建任务，项目的实施达到了预期的社会效益，有力的保障</w:t>
      </w:r>
      <w:r>
        <w:rPr>
          <w:rFonts w:hint="eastAsia" w:ascii="仿宋" w:hAnsi="仿宋" w:eastAsia="仿宋" w:cs="仿宋"/>
          <w:sz w:val="32"/>
          <w:szCs w:val="32"/>
        </w:rPr>
        <w:t>公路</w:t>
      </w:r>
      <w:r>
        <w:rPr>
          <w:rFonts w:hint="eastAsia" w:ascii="仿宋" w:hAnsi="仿宋" w:eastAsia="仿宋" w:cs="仿宋"/>
          <w:sz w:val="32"/>
          <w:szCs w:val="32"/>
          <w:lang w:val="zh-CN"/>
        </w:rPr>
        <w:t>工程的有效运行，解决</w:t>
      </w:r>
      <w:r>
        <w:rPr>
          <w:rFonts w:hint="eastAsia" w:ascii="仿宋" w:hAnsi="仿宋" w:eastAsia="仿宋" w:cs="仿宋"/>
          <w:sz w:val="32"/>
          <w:szCs w:val="32"/>
        </w:rPr>
        <w:t>群众出行</w:t>
      </w:r>
      <w:r>
        <w:rPr>
          <w:rFonts w:hint="eastAsia" w:ascii="仿宋" w:hAnsi="仿宋" w:eastAsia="仿宋" w:cs="仿宋"/>
          <w:sz w:val="32"/>
          <w:szCs w:val="32"/>
          <w:lang w:val="zh-CN"/>
        </w:rPr>
        <w:t>问题，受益</w:t>
      </w:r>
      <w:r>
        <w:rPr>
          <w:rFonts w:hint="eastAsia" w:ascii="仿宋" w:hAnsi="仿宋" w:eastAsia="仿宋" w:cs="仿宋"/>
          <w:sz w:val="32"/>
          <w:szCs w:val="32"/>
        </w:rPr>
        <w:t>群众</w:t>
      </w:r>
      <w:r>
        <w:rPr>
          <w:rFonts w:hint="eastAsia" w:ascii="仿宋" w:hAnsi="仿宋" w:eastAsia="仿宋" w:cs="仿宋"/>
          <w:sz w:val="32"/>
          <w:szCs w:val="32"/>
          <w:lang w:val="zh-CN"/>
        </w:rPr>
        <w:t>满意度好。</w:t>
      </w:r>
    </w:p>
    <w:p>
      <w:pPr>
        <w:adjustRightInd w:val="0"/>
        <w:snapToGrid w:val="0"/>
        <w:spacing w:line="360" w:lineRule="auto"/>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widowControl/>
        <w:numPr>
          <w:ilvl w:val="0"/>
          <w:numId w:val="5"/>
        </w:numPr>
        <w:adjustRightInd w:val="0"/>
        <w:snapToGrid w:val="0"/>
        <w:spacing w:line="580" w:lineRule="exact"/>
        <w:ind w:left="0" w:leftChars="0" w:firstLine="642" w:firstLineChars="200"/>
        <w:contextualSpacing/>
        <w:jc w:val="left"/>
        <w:rPr>
          <w:rFonts w:hint="eastAsia" w:ascii="仿宋" w:hAnsi="仿宋" w:eastAsia="仿宋" w:cs="仿宋"/>
          <w:b/>
          <w:sz w:val="32"/>
          <w:szCs w:val="32"/>
          <w:lang w:val="zh-CN"/>
        </w:rPr>
      </w:pPr>
      <w:r>
        <w:rPr>
          <w:rFonts w:hint="eastAsia" w:ascii="仿宋" w:hAnsi="仿宋" w:eastAsia="仿宋" w:cs="仿宋"/>
          <w:b/>
          <w:sz w:val="32"/>
          <w:szCs w:val="32"/>
          <w:lang w:val="zh-CN"/>
        </w:rPr>
        <w:t>相关建议。</w:t>
      </w:r>
      <w:bookmarkStart w:id="33" w:name="_Toc3122"/>
    </w:p>
    <w:p>
      <w:pPr>
        <w:pStyle w:val="2"/>
        <w:rPr>
          <w:rFonts w:hint="eastAsia" w:ascii="仿宋" w:hAnsi="仿宋" w:eastAsia="仿宋" w:cs="仿宋"/>
          <w:b/>
          <w:sz w:val="32"/>
          <w:szCs w:val="32"/>
          <w:lang w:val="zh-CN"/>
        </w:rPr>
      </w:pPr>
    </w:p>
    <w:p>
      <w:pPr>
        <w:pStyle w:val="2"/>
        <w:rPr>
          <w:rFonts w:hint="eastAsia" w:ascii="仿宋" w:hAnsi="仿宋" w:eastAsia="仿宋" w:cs="仿宋"/>
          <w:b/>
          <w:sz w:val="32"/>
          <w:szCs w:val="32"/>
          <w:lang w:val="zh-CN"/>
        </w:rPr>
      </w:pPr>
    </w:p>
    <w:p>
      <w:pPr>
        <w:widowControl/>
        <w:numPr>
          <w:ilvl w:val="0"/>
          <w:numId w:val="0"/>
        </w:numPr>
        <w:adjustRightInd w:val="0"/>
        <w:snapToGrid w:val="0"/>
        <w:spacing w:line="580" w:lineRule="exact"/>
        <w:ind w:leftChars="200"/>
        <w:contextualSpacing/>
        <w:jc w:val="left"/>
        <w:rPr>
          <w:rFonts w:hint="eastAsia"/>
          <w:highlight w:val="none"/>
          <w:lang w:val="zh-CN" w:eastAsia="zh-CN"/>
        </w:rPr>
      </w:pPr>
      <w:r>
        <w:rPr>
          <w:rFonts w:hint="eastAsia" w:ascii="仿宋_GB2312" w:hAnsi="宋体" w:eastAsia="仿宋_GB2312" w:cs="宋体"/>
          <w:kern w:val="0"/>
          <w:sz w:val="32"/>
          <w:szCs w:val="32"/>
          <w:highlight w:val="none"/>
          <w:shd w:val="clear" w:color="auto" w:fill="FFFFFF"/>
          <w:lang w:val="zh-CN"/>
        </w:rPr>
        <w:t>附件3：</w:t>
      </w:r>
    </w:p>
    <w:tbl>
      <w:tblPr>
        <w:tblStyle w:val="11"/>
        <w:tblpPr w:leftFromText="180" w:rightFromText="180" w:vertAnchor="text" w:horzAnchor="page" w:tblpX="1281" w:tblpY="660"/>
        <w:tblOverlap w:val="never"/>
        <w:tblW w:w="16758"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gridCol w:w="6947"/>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highlight w:val="none"/>
              </w:rPr>
            </w:pPr>
            <w:r>
              <w:rPr>
                <w:rFonts w:hint="eastAsia" w:ascii="宋体" w:hAnsi="宋体" w:cs="宋体"/>
                <w:b/>
                <w:sz w:val="32"/>
                <w:szCs w:val="32"/>
                <w:highlight w:val="none"/>
              </w:rPr>
              <w:t>2021年100万元以上（含）特定目标类部门预算项目绩效目标自评</w:t>
            </w:r>
          </w:p>
        </w:tc>
        <w:tc>
          <w:tcPr>
            <w:tcW w:w="236" w:type="dxa"/>
            <w:tcBorders>
              <w:top w:val="nil"/>
              <w:left w:val="nil"/>
              <w:bottom w:val="nil"/>
              <w:right w:val="nil"/>
            </w:tcBorders>
            <w:shd w:val="clear" w:color="auto" w:fill="auto"/>
            <w:vAlign w:val="center"/>
          </w:tcPr>
          <w:p>
            <w:pPr>
              <w:spacing w:line="600" w:lineRule="exact"/>
              <w:jc w:val="center"/>
              <w:rPr>
                <w:rFonts w:ascii="宋体" w:hAnsi="宋体" w:cs="宋体"/>
                <w:b/>
                <w:bCs/>
                <w:spacing w:val="6"/>
                <w:sz w:val="20"/>
                <w:szCs w:val="20"/>
                <w:highlight w:val="none"/>
              </w:rPr>
            </w:pPr>
          </w:p>
          <w:p>
            <w:pPr>
              <w:pStyle w:val="2"/>
              <w:spacing w:before="93"/>
              <w:rPr>
                <w:highlight w:val="none"/>
              </w:rPr>
            </w:pPr>
          </w:p>
          <w:p>
            <w:pPr>
              <w:pStyle w:val="2"/>
              <w:spacing w:before="93"/>
              <w:rPr>
                <w:highlight w:val="none"/>
              </w:rPr>
            </w:pPr>
          </w:p>
        </w:tc>
        <w:tc>
          <w:tcPr>
            <w:tcW w:w="6947" w:type="dxa"/>
            <w:vAlign w:val="center"/>
          </w:tcPr>
          <w:p>
            <w:pPr>
              <w:spacing w:line="600" w:lineRule="exact"/>
              <w:jc w:val="center"/>
              <w:rPr>
                <w:rFonts w:ascii="宋体" w:hAnsi="宋体" w:cs="宋体"/>
                <w:b/>
                <w:bCs/>
                <w:spacing w:val="6"/>
                <w:sz w:val="20"/>
                <w:szCs w:val="20"/>
                <w:highlight w:val="none"/>
              </w:rPr>
            </w:pPr>
            <w:r>
              <w:rPr>
                <w:rFonts w:hint="eastAsia" w:ascii="宋体" w:hAnsi="宋体" w:cs="宋体"/>
                <w:b/>
                <w:bCs/>
                <w:spacing w:val="6"/>
                <w:sz w:val="20"/>
                <w:szCs w:val="20"/>
                <w:highlight w:val="none"/>
              </w:rPr>
              <w:t>案件审判经费项目</w:t>
            </w:r>
          </w:p>
        </w:tc>
      </w:tr>
      <w:tr>
        <w:tblPrEx>
          <w:tblCellMar>
            <w:top w:w="0" w:type="dxa"/>
            <w:left w:w="108" w:type="dxa"/>
            <w:bottom w:w="0" w:type="dxa"/>
            <w:right w:w="108" w:type="dxa"/>
          </w:tblCellMar>
        </w:tblPrEx>
        <w:trPr>
          <w:gridAfter w:val="2"/>
          <w:wAfter w:w="7183" w:type="dxa"/>
          <w:trHeight w:val="585"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r>
              <w:rPr>
                <w:rFonts w:hint="eastAsia" w:ascii="宋体" w:hAnsi="宋体" w:cs="宋体"/>
                <w:b/>
                <w:bCs/>
                <w:spacing w:val="6"/>
                <w:sz w:val="20"/>
                <w:szCs w:val="20"/>
                <w:highlight w:val="none"/>
              </w:rPr>
              <w:t>项目名称</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p>
        </w:tc>
      </w:tr>
      <w:tr>
        <w:tblPrEx>
          <w:tblCellMar>
            <w:top w:w="0" w:type="dxa"/>
            <w:left w:w="108" w:type="dxa"/>
            <w:bottom w:w="0" w:type="dxa"/>
            <w:right w:w="108" w:type="dxa"/>
          </w:tblCellMar>
        </w:tblPrEx>
        <w:trPr>
          <w:gridAfter w:val="2"/>
          <w:wAfter w:w="7183" w:type="dxa"/>
          <w:trHeight w:val="585"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p>
        </w:tc>
      </w:tr>
      <w:tr>
        <w:tblPrEx>
          <w:tblCellMar>
            <w:top w:w="0" w:type="dxa"/>
            <w:left w:w="108" w:type="dxa"/>
            <w:bottom w:w="0" w:type="dxa"/>
            <w:right w:w="108" w:type="dxa"/>
          </w:tblCellMar>
        </w:tblPrEx>
        <w:trPr>
          <w:gridAfter w:val="2"/>
          <w:wAfter w:w="7183"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项目预算</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执行情况</w:t>
            </w:r>
            <w:r>
              <w:rPr>
                <w:rFonts w:hint="eastAsia" w:ascii="宋体" w:hAnsi="宋体" w:cs="宋体"/>
                <w:kern w:val="0"/>
                <w:sz w:val="24"/>
                <w:highlight w:val="none"/>
                <w:lang w:bidi="ar"/>
              </w:rPr>
              <w:br w:type="textWrapping"/>
            </w:r>
            <w:r>
              <w:rPr>
                <w:rFonts w:hint="eastAsia" w:ascii="宋体" w:hAnsi="宋体" w:cs="宋体"/>
                <w:kern w:val="0"/>
                <w:sz w:val="24"/>
                <w:highlight w:val="none"/>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highlight w:val="none"/>
              </w:rPr>
            </w:pPr>
          </w:p>
        </w:tc>
      </w:tr>
      <w:tr>
        <w:tblPrEx>
          <w:tblCellMar>
            <w:top w:w="0" w:type="dxa"/>
            <w:left w:w="108" w:type="dxa"/>
            <w:bottom w:w="0" w:type="dxa"/>
            <w:right w:w="108" w:type="dxa"/>
          </w:tblCellMar>
        </w:tblPrEx>
        <w:trPr>
          <w:gridAfter w:val="2"/>
          <w:wAfter w:w="7183"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其中：</w:t>
            </w:r>
          </w:p>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其中：</w:t>
            </w:r>
          </w:p>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highlight w:val="none"/>
              </w:rPr>
            </w:pPr>
          </w:p>
        </w:tc>
      </w:tr>
      <w:tr>
        <w:tblPrEx>
          <w:tblCellMar>
            <w:top w:w="0" w:type="dxa"/>
            <w:left w:w="108" w:type="dxa"/>
            <w:bottom w:w="0" w:type="dxa"/>
            <w:right w:w="108" w:type="dxa"/>
          </w:tblCellMar>
        </w:tblPrEx>
        <w:trPr>
          <w:gridAfter w:val="2"/>
          <w:wAfter w:w="7183"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highlight w:val="none"/>
              </w:rPr>
            </w:pPr>
            <w:r>
              <w:rPr>
                <w:rFonts w:hint="eastAsia" w:ascii="宋体" w:hAnsi="宋体" w:cs="宋体"/>
                <w:kern w:val="0"/>
                <w:sz w:val="24"/>
                <w:highlight w:val="none"/>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p>
        </w:tc>
      </w:tr>
      <w:tr>
        <w:tblPrEx>
          <w:tblCellMar>
            <w:top w:w="0" w:type="dxa"/>
            <w:left w:w="108" w:type="dxa"/>
            <w:bottom w:w="0" w:type="dxa"/>
            <w:right w:w="108" w:type="dxa"/>
          </w:tblCellMar>
        </w:tblPrEx>
        <w:trPr>
          <w:gridAfter w:val="2"/>
          <w:wAfter w:w="7183"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年度总体目标</w:t>
            </w:r>
          </w:p>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highlight w:val="none"/>
              </w:rPr>
            </w:pPr>
            <w:r>
              <w:rPr>
                <w:rFonts w:hint="eastAsia" w:ascii="宋体" w:hAnsi="宋体" w:cs="宋体"/>
                <w:kern w:val="0"/>
                <w:sz w:val="24"/>
                <w:highlight w:val="none"/>
                <w:lang w:bidi="ar"/>
              </w:rPr>
              <w:t>目标实际完成情况</w:t>
            </w:r>
          </w:p>
        </w:tc>
      </w:tr>
      <w:tr>
        <w:tblPrEx>
          <w:tblCellMar>
            <w:top w:w="0" w:type="dxa"/>
            <w:left w:w="108" w:type="dxa"/>
            <w:bottom w:w="0" w:type="dxa"/>
            <w:right w:w="108" w:type="dxa"/>
          </w:tblCellMar>
        </w:tblPrEx>
        <w:trPr>
          <w:gridAfter w:val="2"/>
          <w:wAfter w:w="7183"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highlight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highlight w:val="none"/>
              </w:rPr>
            </w:pP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highlight w:val="none"/>
              </w:rPr>
            </w:pPr>
          </w:p>
        </w:tc>
      </w:tr>
      <w:tr>
        <w:tblPrEx>
          <w:tblCellMar>
            <w:top w:w="0" w:type="dxa"/>
            <w:left w:w="108" w:type="dxa"/>
            <w:bottom w:w="0" w:type="dxa"/>
            <w:right w:w="108" w:type="dxa"/>
          </w:tblCellMar>
        </w:tblPrEx>
        <w:trPr>
          <w:gridAfter w:val="2"/>
          <w:wAfter w:w="7183"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一级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二级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三级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实际完成指标值</w:t>
            </w:r>
          </w:p>
        </w:tc>
      </w:tr>
      <w:tr>
        <w:tblPrEx>
          <w:tblCellMar>
            <w:top w:w="0" w:type="dxa"/>
            <w:left w:w="108" w:type="dxa"/>
            <w:bottom w:w="0" w:type="dxa"/>
            <w:right w:w="108" w:type="dxa"/>
          </w:tblCellMar>
        </w:tblPrEx>
        <w:trPr>
          <w:gridAfter w:val="2"/>
          <w:wAfter w:w="7183"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完成</w:t>
            </w:r>
          </w:p>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效益</w:t>
            </w:r>
            <w:r>
              <w:rPr>
                <w:rFonts w:hint="eastAsia" w:ascii="仿宋_GB2312" w:hAnsi="仿宋_GB2312" w:eastAsia="仿宋_GB2312" w:cs="仿宋_GB2312"/>
                <w:kern w:val="0"/>
                <w:sz w:val="28"/>
                <w:szCs w:val="28"/>
                <w:highlight w:val="none"/>
                <w:lang w:bidi="ar"/>
              </w:rPr>
              <w:br w:type="textWrapping"/>
            </w:r>
            <w:r>
              <w:rPr>
                <w:rFonts w:hint="eastAsia" w:ascii="仿宋_GB2312" w:hAnsi="仿宋_GB2312" w:eastAsia="仿宋_GB2312" w:cs="仿宋_GB2312"/>
                <w:kern w:val="0"/>
                <w:sz w:val="28"/>
                <w:szCs w:val="28"/>
                <w:highlight w:val="none"/>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gridAfter w:val="2"/>
          <w:wAfter w:w="7183"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满意</w:t>
            </w:r>
            <w:r>
              <w:rPr>
                <w:rFonts w:hint="eastAsia" w:ascii="仿宋_GB2312" w:hAnsi="仿宋_GB2312" w:eastAsia="仿宋_GB2312" w:cs="仿宋_GB2312"/>
                <w:kern w:val="0"/>
                <w:sz w:val="28"/>
                <w:szCs w:val="28"/>
                <w:highlight w:val="none"/>
                <w:lang w:bidi="ar"/>
              </w:rPr>
              <w:br w:type="textWrapping"/>
            </w:r>
            <w:r>
              <w:rPr>
                <w:rFonts w:hint="eastAsia" w:ascii="仿宋_GB2312" w:hAnsi="仿宋_GB2312" w:eastAsia="仿宋_GB2312" w:cs="仿宋_GB2312"/>
                <w:kern w:val="0"/>
                <w:sz w:val="28"/>
                <w:szCs w:val="28"/>
                <w:highlight w:val="none"/>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满意度</w:t>
            </w:r>
          </w:p>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highlight w:val="none"/>
              </w:rPr>
            </w:pPr>
          </w:p>
        </w:tc>
      </w:tr>
    </w:tbl>
    <w:p>
      <w:pPr>
        <w:widowControl/>
        <w:adjustRightInd w:val="0"/>
        <w:snapToGrid w:val="0"/>
        <w:spacing w:line="580" w:lineRule="exact"/>
        <w:contextualSpacing/>
        <w:jc w:val="left"/>
        <w:rPr>
          <w:highlight w:val="none"/>
        </w:rPr>
      </w:pPr>
      <w:r>
        <w:rPr>
          <w:rFonts w:hint="eastAsia" w:ascii="仿宋_GB2312" w:hAnsi="宋体" w:eastAsia="仿宋_GB2312" w:cs="宋体"/>
          <w:kern w:val="0"/>
          <w:sz w:val="32"/>
          <w:szCs w:val="32"/>
          <w:highlight w:val="none"/>
          <w:shd w:val="clear" w:color="auto" w:fill="FFFFFF"/>
        </w:rPr>
        <w:t>（注：无此项内容）</w:t>
      </w:r>
    </w:p>
    <w:p>
      <w:pPr>
        <w:widowControl/>
        <w:adjustRightInd w:val="0"/>
        <w:snapToGrid w:val="0"/>
        <w:spacing w:line="580" w:lineRule="exact"/>
        <w:contextualSpacing/>
        <w:jc w:val="left"/>
        <w:rPr>
          <w:rFonts w:ascii="仿宋_GB2312" w:hAnsi="宋体" w:eastAsia="仿宋_GB2312" w:cs="宋体"/>
          <w:kern w:val="0"/>
          <w:sz w:val="32"/>
          <w:szCs w:val="32"/>
          <w:highlight w:val="none"/>
          <w:shd w:val="clear" w:color="auto" w:fill="FFFFFF"/>
          <w:lang w:val="zh-CN"/>
        </w:rPr>
      </w:pPr>
    </w:p>
    <w:p>
      <w:pPr>
        <w:pStyle w:val="6"/>
        <w:rPr>
          <w:highlight w:val="none"/>
          <w:lang w:val="zh-CN"/>
        </w:rPr>
      </w:pPr>
    </w:p>
    <w:p>
      <w:pPr>
        <w:jc w:val="center"/>
        <w:rPr>
          <w:rFonts w:ascii="黑体" w:hAnsi="黑体" w:eastAsia="黑体"/>
          <w:color w:val="000000"/>
          <w:sz w:val="48"/>
          <w:szCs w:val="48"/>
        </w:rPr>
      </w:pPr>
      <w:r>
        <w:rPr>
          <w:rFonts w:hint="eastAsia" w:ascii="黑体" w:hAnsi="黑体" w:eastAsia="黑体"/>
          <w:color w:val="000000"/>
          <w:sz w:val="48"/>
          <w:szCs w:val="48"/>
        </w:rPr>
        <w:t>第五部分  附表</w:t>
      </w:r>
      <w:bookmarkEnd w:id="33"/>
    </w:p>
    <w:p>
      <w:pPr>
        <w:spacing w:line="600" w:lineRule="exact"/>
        <w:outlineLvl w:val="0"/>
        <w:rPr>
          <w:rStyle w:val="15"/>
          <w:rFonts w:ascii="黑体" w:hAnsi="黑体" w:eastAsia="黑体"/>
          <w:b w:val="0"/>
        </w:rPr>
      </w:pPr>
    </w:p>
    <w:p>
      <w:pPr>
        <w:widowControl/>
        <w:shd w:val="clear" w:color="auto" w:fill="FFFFFF"/>
        <w:spacing w:line="440" w:lineRule="atLeast"/>
        <w:ind w:firstLine="660" w:firstLineChars="200"/>
        <w:jc w:val="left"/>
        <w:rPr>
          <w:rFonts w:eastAsia="方正仿宋_GBK"/>
          <w:sz w:val="33"/>
          <w:szCs w:val="33"/>
        </w:rPr>
      </w:pPr>
      <w:bookmarkStart w:id="34" w:name="_Toc20823"/>
      <w:r>
        <w:rPr>
          <w:rFonts w:hint="eastAsia" w:eastAsia="方正仿宋_GBK"/>
          <w:sz w:val="33"/>
          <w:szCs w:val="33"/>
        </w:rPr>
        <w:t>一、收入支出决算总表</w:t>
      </w:r>
      <w:bookmarkEnd w:id="34"/>
    </w:p>
    <w:p>
      <w:pPr>
        <w:widowControl/>
        <w:shd w:val="clear" w:color="auto" w:fill="FFFFFF"/>
        <w:spacing w:line="440" w:lineRule="atLeast"/>
        <w:ind w:firstLine="660" w:firstLineChars="200"/>
        <w:jc w:val="left"/>
        <w:rPr>
          <w:rFonts w:eastAsia="方正仿宋_GBK"/>
          <w:sz w:val="33"/>
          <w:szCs w:val="33"/>
        </w:rPr>
      </w:pPr>
      <w:bookmarkStart w:id="35" w:name="_Toc8877"/>
      <w:r>
        <w:rPr>
          <w:rFonts w:hint="eastAsia" w:eastAsia="方正仿宋_GBK"/>
          <w:sz w:val="33"/>
          <w:szCs w:val="33"/>
        </w:rPr>
        <w:t>二、收入总表</w:t>
      </w:r>
      <w:bookmarkEnd w:id="35"/>
    </w:p>
    <w:p>
      <w:pPr>
        <w:widowControl/>
        <w:shd w:val="clear" w:color="auto" w:fill="FFFFFF"/>
        <w:spacing w:line="440" w:lineRule="atLeast"/>
        <w:ind w:firstLine="660" w:firstLineChars="200"/>
        <w:jc w:val="left"/>
        <w:rPr>
          <w:rFonts w:eastAsia="方正仿宋_GBK"/>
          <w:sz w:val="33"/>
          <w:szCs w:val="33"/>
        </w:rPr>
      </w:pPr>
      <w:bookmarkStart w:id="36" w:name="_Toc4296"/>
      <w:r>
        <w:rPr>
          <w:rFonts w:hint="eastAsia" w:eastAsia="方正仿宋_GBK"/>
          <w:sz w:val="33"/>
          <w:szCs w:val="33"/>
        </w:rPr>
        <w:t>三、支出总表</w:t>
      </w:r>
      <w:bookmarkEnd w:id="36"/>
    </w:p>
    <w:p>
      <w:pPr>
        <w:widowControl/>
        <w:shd w:val="clear" w:color="auto" w:fill="FFFFFF"/>
        <w:spacing w:line="440" w:lineRule="atLeast"/>
        <w:ind w:firstLine="660" w:firstLineChars="200"/>
        <w:jc w:val="left"/>
        <w:rPr>
          <w:rFonts w:eastAsia="方正仿宋_GBK"/>
          <w:sz w:val="33"/>
          <w:szCs w:val="33"/>
        </w:rPr>
      </w:pPr>
      <w:bookmarkStart w:id="37" w:name="_Toc4818"/>
      <w:r>
        <w:rPr>
          <w:rFonts w:hint="eastAsia" w:eastAsia="方正仿宋_GBK"/>
          <w:sz w:val="33"/>
          <w:szCs w:val="33"/>
        </w:rPr>
        <w:t>四、财政拨款收入支出决算总表</w:t>
      </w:r>
      <w:bookmarkEnd w:id="37"/>
    </w:p>
    <w:p>
      <w:pPr>
        <w:widowControl/>
        <w:shd w:val="clear" w:color="auto" w:fill="FFFFFF"/>
        <w:spacing w:line="440" w:lineRule="atLeast"/>
        <w:ind w:firstLine="660" w:firstLineChars="200"/>
        <w:jc w:val="left"/>
        <w:rPr>
          <w:rFonts w:eastAsia="方正仿宋_GBK"/>
          <w:sz w:val="33"/>
          <w:szCs w:val="33"/>
        </w:rPr>
      </w:pPr>
      <w:bookmarkStart w:id="38" w:name="_Toc3992"/>
      <w:r>
        <w:rPr>
          <w:rFonts w:hint="eastAsia" w:eastAsia="方正仿宋_GBK"/>
          <w:sz w:val="33"/>
          <w:szCs w:val="33"/>
        </w:rPr>
        <w:t>五、财政拨款支出决算明细表（政府经济分类科目）</w:t>
      </w:r>
      <w:bookmarkEnd w:id="38"/>
    </w:p>
    <w:p>
      <w:pPr>
        <w:widowControl/>
        <w:shd w:val="clear" w:color="auto" w:fill="FFFFFF"/>
        <w:spacing w:line="440" w:lineRule="atLeast"/>
        <w:ind w:firstLine="660" w:firstLineChars="200"/>
        <w:jc w:val="left"/>
        <w:rPr>
          <w:rFonts w:eastAsia="方正仿宋_GBK"/>
          <w:sz w:val="33"/>
          <w:szCs w:val="33"/>
        </w:rPr>
      </w:pPr>
      <w:bookmarkStart w:id="39" w:name="_Toc6344"/>
      <w:r>
        <w:rPr>
          <w:rFonts w:hint="eastAsia" w:eastAsia="方正仿宋_GBK"/>
          <w:sz w:val="33"/>
          <w:szCs w:val="33"/>
        </w:rPr>
        <w:t>六、一般公共预算财政拨款支出决算表</w:t>
      </w:r>
      <w:bookmarkEnd w:id="39"/>
    </w:p>
    <w:p>
      <w:pPr>
        <w:widowControl/>
        <w:shd w:val="clear" w:color="auto" w:fill="FFFFFF"/>
        <w:spacing w:line="440" w:lineRule="atLeast"/>
        <w:ind w:firstLine="660" w:firstLineChars="200"/>
        <w:jc w:val="left"/>
        <w:rPr>
          <w:rFonts w:eastAsia="方正仿宋_GBK"/>
          <w:sz w:val="33"/>
          <w:szCs w:val="33"/>
        </w:rPr>
      </w:pPr>
      <w:bookmarkStart w:id="40" w:name="_Toc9759"/>
      <w:r>
        <w:rPr>
          <w:rFonts w:hint="eastAsia" w:eastAsia="方正仿宋_GBK"/>
          <w:sz w:val="33"/>
          <w:szCs w:val="33"/>
        </w:rPr>
        <w:t>七、一般公共预算财政拨款支出决算明细表</w:t>
      </w:r>
      <w:bookmarkEnd w:id="40"/>
    </w:p>
    <w:p>
      <w:pPr>
        <w:widowControl/>
        <w:shd w:val="clear" w:color="auto" w:fill="FFFFFF"/>
        <w:spacing w:line="440" w:lineRule="atLeast"/>
        <w:ind w:firstLine="660" w:firstLineChars="200"/>
        <w:jc w:val="left"/>
        <w:rPr>
          <w:rFonts w:eastAsia="方正仿宋_GBK"/>
          <w:sz w:val="33"/>
          <w:szCs w:val="33"/>
        </w:rPr>
      </w:pPr>
      <w:bookmarkStart w:id="41" w:name="_Toc19733"/>
      <w:r>
        <w:rPr>
          <w:rFonts w:hint="eastAsia" w:eastAsia="方正仿宋_GBK"/>
          <w:sz w:val="33"/>
          <w:szCs w:val="33"/>
        </w:rPr>
        <w:t>八、一般公共预算财政拨款基本支出决算表</w:t>
      </w:r>
      <w:bookmarkEnd w:id="41"/>
    </w:p>
    <w:p>
      <w:pPr>
        <w:widowControl/>
        <w:shd w:val="clear" w:color="auto" w:fill="FFFFFF"/>
        <w:spacing w:line="440" w:lineRule="atLeast"/>
        <w:ind w:firstLine="660" w:firstLineChars="200"/>
        <w:jc w:val="left"/>
        <w:rPr>
          <w:rFonts w:eastAsia="方正仿宋_GBK"/>
          <w:sz w:val="33"/>
          <w:szCs w:val="33"/>
        </w:rPr>
      </w:pPr>
      <w:bookmarkStart w:id="42" w:name="_Toc20014"/>
      <w:r>
        <w:rPr>
          <w:rFonts w:hint="eastAsia" w:eastAsia="方正仿宋_GBK"/>
          <w:sz w:val="33"/>
          <w:szCs w:val="33"/>
        </w:rPr>
        <w:t>九、一般公共预算财政拨款项目支出决算表</w:t>
      </w:r>
      <w:bookmarkEnd w:id="42"/>
    </w:p>
    <w:p>
      <w:pPr>
        <w:widowControl/>
        <w:shd w:val="clear" w:color="auto" w:fill="FFFFFF"/>
        <w:spacing w:line="440" w:lineRule="atLeast"/>
        <w:ind w:firstLine="660" w:firstLineChars="200"/>
        <w:jc w:val="left"/>
        <w:rPr>
          <w:rFonts w:eastAsia="方正仿宋_GBK"/>
          <w:sz w:val="33"/>
          <w:szCs w:val="33"/>
        </w:rPr>
      </w:pPr>
      <w:bookmarkStart w:id="43" w:name="_Toc31"/>
      <w:r>
        <w:rPr>
          <w:rFonts w:hint="eastAsia" w:eastAsia="方正仿宋_GBK"/>
          <w:sz w:val="33"/>
          <w:szCs w:val="33"/>
        </w:rPr>
        <w:t>十、一般公共预算财政拨款“三公”经费支出决算表</w:t>
      </w:r>
      <w:bookmarkEnd w:id="43"/>
    </w:p>
    <w:p>
      <w:pPr>
        <w:widowControl/>
        <w:shd w:val="clear" w:color="auto" w:fill="FFFFFF"/>
        <w:spacing w:line="440" w:lineRule="atLeast"/>
        <w:ind w:firstLine="660" w:firstLineChars="200"/>
        <w:jc w:val="left"/>
        <w:rPr>
          <w:rFonts w:eastAsia="方正仿宋_GBK"/>
          <w:sz w:val="33"/>
          <w:szCs w:val="33"/>
        </w:rPr>
      </w:pPr>
      <w:bookmarkStart w:id="44" w:name="_Toc17673"/>
      <w:r>
        <w:rPr>
          <w:rFonts w:hint="eastAsia" w:eastAsia="方正仿宋_GBK"/>
          <w:sz w:val="33"/>
          <w:szCs w:val="33"/>
        </w:rPr>
        <w:t>十一、政府性基金预算财政拨款收入支出决算表</w:t>
      </w:r>
      <w:bookmarkEnd w:id="44"/>
    </w:p>
    <w:p>
      <w:pPr>
        <w:widowControl/>
        <w:shd w:val="clear" w:color="auto" w:fill="FFFFFF"/>
        <w:spacing w:line="440" w:lineRule="atLeast"/>
        <w:ind w:firstLine="660" w:firstLineChars="200"/>
        <w:jc w:val="left"/>
        <w:rPr>
          <w:rFonts w:eastAsia="方正仿宋_GBK"/>
          <w:sz w:val="33"/>
          <w:szCs w:val="33"/>
        </w:rPr>
      </w:pPr>
      <w:bookmarkStart w:id="45" w:name="_Toc14022"/>
      <w:r>
        <w:rPr>
          <w:rFonts w:hint="eastAsia" w:eastAsia="方正仿宋_GBK"/>
          <w:sz w:val="33"/>
          <w:szCs w:val="33"/>
        </w:rPr>
        <w:t>十二、政府性基金预算财政拨款“三公”经费支出决算表</w:t>
      </w:r>
      <w:bookmarkEnd w:id="45"/>
    </w:p>
    <w:p>
      <w:pPr>
        <w:widowControl/>
        <w:shd w:val="clear" w:color="auto" w:fill="FFFFFF"/>
        <w:spacing w:line="440" w:lineRule="atLeast"/>
        <w:ind w:firstLine="660" w:firstLineChars="200"/>
        <w:jc w:val="left"/>
        <w:rPr>
          <w:rFonts w:hint="eastAsia" w:eastAsia="方正仿宋_GBK"/>
          <w:sz w:val="33"/>
          <w:szCs w:val="33"/>
        </w:rPr>
      </w:pPr>
      <w:bookmarkStart w:id="46" w:name="_Toc28176"/>
      <w:r>
        <w:rPr>
          <w:rFonts w:hint="eastAsia" w:eastAsia="方正仿宋_GBK"/>
          <w:sz w:val="33"/>
          <w:szCs w:val="33"/>
        </w:rPr>
        <w:t>十三、国有资本经营预算财政拨款收入支出决算表</w:t>
      </w:r>
    </w:p>
    <w:p>
      <w:pPr>
        <w:widowControl/>
        <w:shd w:val="clear" w:color="auto" w:fill="FFFFFF"/>
        <w:spacing w:line="440" w:lineRule="atLeast"/>
        <w:ind w:firstLine="660" w:firstLineChars="200"/>
        <w:jc w:val="left"/>
        <w:rPr>
          <w:rFonts w:eastAsia="方正仿宋_GBK"/>
          <w:sz w:val="33"/>
          <w:szCs w:val="33"/>
        </w:rPr>
      </w:pPr>
      <w:r>
        <w:rPr>
          <w:rFonts w:hint="eastAsia" w:eastAsia="方正仿宋_GBK"/>
          <w:sz w:val="33"/>
          <w:szCs w:val="33"/>
          <w:lang w:val="en-US" w:eastAsia="zh-CN"/>
        </w:rPr>
        <w:t>十四、</w:t>
      </w:r>
      <w:r>
        <w:rPr>
          <w:rFonts w:hint="eastAsia" w:eastAsia="方正仿宋_GBK"/>
          <w:sz w:val="33"/>
          <w:szCs w:val="33"/>
        </w:rPr>
        <w:t>国有资本经营预算支出决算表</w:t>
      </w:r>
      <w:bookmarkEnd w:id="46"/>
    </w:p>
    <w:p>
      <w:pPr>
        <w:jc w:val="left"/>
        <w:rPr>
          <w:rStyle w:val="15"/>
          <w:rFonts w:ascii="宋体" w:hAnsi="宋体" w:cs="宋体"/>
          <w:b w:val="0"/>
          <w:bCs w:val="0"/>
          <w:sz w:val="32"/>
          <w:szCs w:val="32"/>
        </w:rPr>
      </w:pPr>
    </w:p>
    <w:bookmarkEnd w:id="47"/>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49E0E"/>
    <w:multiLevelType w:val="singleLevel"/>
    <w:tmpl w:val="9B749E0E"/>
    <w:lvl w:ilvl="0" w:tentative="0">
      <w:start w:val="7"/>
      <w:numFmt w:val="chineseCounting"/>
      <w:suff w:val="nothing"/>
      <w:lvlText w:val="%1、"/>
      <w:lvlJc w:val="left"/>
      <w:pPr>
        <w:ind w:left="630"/>
      </w:pPr>
      <w:rPr>
        <w:rFonts w:hint="eastAsia"/>
        <w:b/>
        <w:bCs/>
      </w:rPr>
    </w:lvl>
  </w:abstractNum>
  <w:abstractNum w:abstractNumId="1">
    <w:nsid w:val="BE6AB3DC"/>
    <w:multiLevelType w:val="singleLevel"/>
    <w:tmpl w:val="BE6AB3DC"/>
    <w:lvl w:ilvl="0" w:tentative="0">
      <w:start w:val="2"/>
      <w:numFmt w:val="chineseCounting"/>
      <w:suff w:val="nothing"/>
      <w:lvlText w:val="（%1）"/>
      <w:lvlJc w:val="left"/>
      <w:rPr>
        <w:rFonts w:hint="eastAsia"/>
      </w:rPr>
    </w:lvl>
  </w:abstractNum>
  <w:abstractNum w:abstractNumId="2">
    <w:nsid w:val="C1D44FB7"/>
    <w:multiLevelType w:val="singleLevel"/>
    <w:tmpl w:val="C1D44FB7"/>
    <w:lvl w:ilvl="0" w:tentative="0">
      <w:start w:val="1"/>
      <w:numFmt w:val="chineseCounting"/>
      <w:suff w:val="space"/>
      <w:lvlText w:val="第%1部分"/>
      <w:lvlJc w:val="left"/>
      <w:rPr>
        <w:rFonts w:hint="eastAsia"/>
      </w:rPr>
    </w:lvl>
  </w:abstractNum>
  <w:abstractNum w:abstractNumId="3">
    <w:nsid w:val="1F91AA39"/>
    <w:multiLevelType w:val="singleLevel"/>
    <w:tmpl w:val="1F91AA39"/>
    <w:lvl w:ilvl="0" w:tentative="0">
      <w:start w:val="1"/>
      <w:numFmt w:val="decimal"/>
      <w:suff w:val="nothing"/>
      <w:lvlText w:val="（%1）"/>
      <w:lvlJc w:val="left"/>
    </w:lvl>
  </w:abstractNum>
  <w:abstractNum w:abstractNumId="4">
    <w:nsid w:val="3456F90B"/>
    <w:multiLevelType w:val="singleLevel"/>
    <w:tmpl w:val="3456F90B"/>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zExZGY4YzIxMDhmMTAxMjRiZTE3ZDBmMGRlMDYifQ=="/>
  </w:docVars>
  <w:rsids>
    <w:rsidRoot w:val="000E24BA"/>
    <w:rsid w:val="00023250"/>
    <w:rsid w:val="000B1A79"/>
    <w:rsid w:val="000C7BA6"/>
    <w:rsid w:val="000E24BA"/>
    <w:rsid w:val="00105986"/>
    <w:rsid w:val="00110B60"/>
    <w:rsid w:val="001B2B14"/>
    <w:rsid w:val="001C290E"/>
    <w:rsid w:val="001C4EFE"/>
    <w:rsid w:val="00292F23"/>
    <w:rsid w:val="00294901"/>
    <w:rsid w:val="002D0CAF"/>
    <w:rsid w:val="002D1A1E"/>
    <w:rsid w:val="003908F0"/>
    <w:rsid w:val="00396401"/>
    <w:rsid w:val="003D093B"/>
    <w:rsid w:val="004007BF"/>
    <w:rsid w:val="004024E7"/>
    <w:rsid w:val="0044035C"/>
    <w:rsid w:val="00463641"/>
    <w:rsid w:val="004735DC"/>
    <w:rsid w:val="00476FAA"/>
    <w:rsid w:val="00485794"/>
    <w:rsid w:val="004A52E8"/>
    <w:rsid w:val="004C4BF1"/>
    <w:rsid w:val="005342EF"/>
    <w:rsid w:val="005F4DF5"/>
    <w:rsid w:val="00606F54"/>
    <w:rsid w:val="00610B6E"/>
    <w:rsid w:val="00633CB6"/>
    <w:rsid w:val="00643A0C"/>
    <w:rsid w:val="00710F0B"/>
    <w:rsid w:val="00716114"/>
    <w:rsid w:val="007513D4"/>
    <w:rsid w:val="00752969"/>
    <w:rsid w:val="0077054F"/>
    <w:rsid w:val="0086606C"/>
    <w:rsid w:val="008E2531"/>
    <w:rsid w:val="008F7AE3"/>
    <w:rsid w:val="0097739C"/>
    <w:rsid w:val="00990AEE"/>
    <w:rsid w:val="0099277D"/>
    <w:rsid w:val="009A6625"/>
    <w:rsid w:val="009B0194"/>
    <w:rsid w:val="009B23BF"/>
    <w:rsid w:val="009C4744"/>
    <w:rsid w:val="00A07C68"/>
    <w:rsid w:val="00A4609B"/>
    <w:rsid w:val="00AF38BB"/>
    <w:rsid w:val="00B27A6E"/>
    <w:rsid w:val="00B36DF9"/>
    <w:rsid w:val="00B775D5"/>
    <w:rsid w:val="00BA728B"/>
    <w:rsid w:val="00BB6DC8"/>
    <w:rsid w:val="00BC1BCB"/>
    <w:rsid w:val="00BD1551"/>
    <w:rsid w:val="00C37A98"/>
    <w:rsid w:val="00C87C03"/>
    <w:rsid w:val="00CC5DBC"/>
    <w:rsid w:val="00D61919"/>
    <w:rsid w:val="00D82722"/>
    <w:rsid w:val="00D837A9"/>
    <w:rsid w:val="00D92F3E"/>
    <w:rsid w:val="00DA4D6C"/>
    <w:rsid w:val="00DC354D"/>
    <w:rsid w:val="00DD177D"/>
    <w:rsid w:val="00DF2B0F"/>
    <w:rsid w:val="00DF2B84"/>
    <w:rsid w:val="00DF7A2F"/>
    <w:rsid w:val="00E339A0"/>
    <w:rsid w:val="00EA2A77"/>
    <w:rsid w:val="00ED2B5C"/>
    <w:rsid w:val="00F00A56"/>
    <w:rsid w:val="00F11DF4"/>
    <w:rsid w:val="00F11F24"/>
    <w:rsid w:val="00F60426"/>
    <w:rsid w:val="00F952C5"/>
    <w:rsid w:val="00FA1F88"/>
    <w:rsid w:val="00FD3228"/>
    <w:rsid w:val="010717BC"/>
    <w:rsid w:val="044C3A25"/>
    <w:rsid w:val="04904FA7"/>
    <w:rsid w:val="068864BD"/>
    <w:rsid w:val="06C45325"/>
    <w:rsid w:val="07874244"/>
    <w:rsid w:val="096C1043"/>
    <w:rsid w:val="0A5630BC"/>
    <w:rsid w:val="0BF17499"/>
    <w:rsid w:val="0C6A3521"/>
    <w:rsid w:val="0C74303E"/>
    <w:rsid w:val="0F114F36"/>
    <w:rsid w:val="0FAA37A7"/>
    <w:rsid w:val="10351C6A"/>
    <w:rsid w:val="11071A02"/>
    <w:rsid w:val="1154490F"/>
    <w:rsid w:val="11DD55A3"/>
    <w:rsid w:val="12345FB8"/>
    <w:rsid w:val="13CB7256"/>
    <w:rsid w:val="14887A48"/>
    <w:rsid w:val="1537146E"/>
    <w:rsid w:val="153A10FC"/>
    <w:rsid w:val="168C3F4A"/>
    <w:rsid w:val="1924406A"/>
    <w:rsid w:val="19877507"/>
    <w:rsid w:val="19AA4B38"/>
    <w:rsid w:val="19AE61A3"/>
    <w:rsid w:val="1A8D1958"/>
    <w:rsid w:val="1B22615C"/>
    <w:rsid w:val="1B735980"/>
    <w:rsid w:val="1B7A444B"/>
    <w:rsid w:val="1CAD2341"/>
    <w:rsid w:val="1CFD66E8"/>
    <w:rsid w:val="1D4565AB"/>
    <w:rsid w:val="1D4964EB"/>
    <w:rsid w:val="1F2428FE"/>
    <w:rsid w:val="1FAD4807"/>
    <w:rsid w:val="202026F4"/>
    <w:rsid w:val="20DD413A"/>
    <w:rsid w:val="21764C4B"/>
    <w:rsid w:val="21E87D78"/>
    <w:rsid w:val="21EB0F6E"/>
    <w:rsid w:val="25177BBB"/>
    <w:rsid w:val="25351C8B"/>
    <w:rsid w:val="267F234A"/>
    <w:rsid w:val="27B96297"/>
    <w:rsid w:val="28F954C5"/>
    <w:rsid w:val="29283150"/>
    <w:rsid w:val="2936586D"/>
    <w:rsid w:val="297832E0"/>
    <w:rsid w:val="2A6C5AFE"/>
    <w:rsid w:val="2B6661CD"/>
    <w:rsid w:val="2B851F59"/>
    <w:rsid w:val="2C675FC0"/>
    <w:rsid w:val="2D0349CC"/>
    <w:rsid w:val="2E5F7614"/>
    <w:rsid w:val="2EBA484A"/>
    <w:rsid w:val="2F09206B"/>
    <w:rsid w:val="2F8337D6"/>
    <w:rsid w:val="301601A6"/>
    <w:rsid w:val="30854329"/>
    <w:rsid w:val="30B56AC7"/>
    <w:rsid w:val="30CA248F"/>
    <w:rsid w:val="31B2469D"/>
    <w:rsid w:val="31D37F0B"/>
    <w:rsid w:val="33150835"/>
    <w:rsid w:val="357614E4"/>
    <w:rsid w:val="36690C3B"/>
    <w:rsid w:val="36835E6A"/>
    <w:rsid w:val="3748158D"/>
    <w:rsid w:val="37971BCD"/>
    <w:rsid w:val="37DB0409"/>
    <w:rsid w:val="3862421A"/>
    <w:rsid w:val="38DE26A1"/>
    <w:rsid w:val="39A40F67"/>
    <w:rsid w:val="3A8001FD"/>
    <w:rsid w:val="3AC727C9"/>
    <w:rsid w:val="3BCC6688"/>
    <w:rsid w:val="3C826CDC"/>
    <w:rsid w:val="3E1026D9"/>
    <w:rsid w:val="3E817133"/>
    <w:rsid w:val="3EE10183"/>
    <w:rsid w:val="3FCC295F"/>
    <w:rsid w:val="405C6D1F"/>
    <w:rsid w:val="40F15615"/>
    <w:rsid w:val="41C36015"/>
    <w:rsid w:val="421F0524"/>
    <w:rsid w:val="431A2A45"/>
    <w:rsid w:val="438941DC"/>
    <w:rsid w:val="44E57FB4"/>
    <w:rsid w:val="45626FE0"/>
    <w:rsid w:val="46392533"/>
    <w:rsid w:val="466B6916"/>
    <w:rsid w:val="46871610"/>
    <w:rsid w:val="469C3E47"/>
    <w:rsid w:val="475E6263"/>
    <w:rsid w:val="48142A6B"/>
    <w:rsid w:val="48D10CB7"/>
    <w:rsid w:val="49066BB2"/>
    <w:rsid w:val="497B4F9A"/>
    <w:rsid w:val="49867802"/>
    <w:rsid w:val="49D007D3"/>
    <w:rsid w:val="49EE4240"/>
    <w:rsid w:val="4A097E98"/>
    <w:rsid w:val="4A6D1951"/>
    <w:rsid w:val="4A93536F"/>
    <w:rsid w:val="4B0F5C9D"/>
    <w:rsid w:val="4B7F2C4C"/>
    <w:rsid w:val="4B940055"/>
    <w:rsid w:val="4BEA4569"/>
    <w:rsid w:val="4C614A29"/>
    <w:rsid w:val="4D267CEF"/>
    <w:rsid w:val="4DB212CB"/>
    <w:rsid w:val="4E504F8C"/>
    <w:rsid w:val="4E9B2926"/>
    <w:rsid w:val="4E9D599F"/>
    <w:rsid w:val="4F394A4A"/>
    <w:rsid w:val="4F713267"/>
    <w:rsid w:val="50321AAE"/>
    <w:rsid w:val="50A60519"/>
    <w:rsid w:val="50FE46A8"/>
    <w:rsid w:val="52287BBA"/>
    <w:rsid w:val="529036BA"/>
    <w:rsid w:val="52E8557B"/>
    <w:rsid w:val="55E70A49"/>
    <w:rsid w:val="572F1971"/>
    <w:rsid w:val="58392EE3"/>
    <w:rsid w:val="5905396B"/>
    <w:rsid w:val="59823C90"/>
    <w:rsid w:val="5ADA7F5D"/>
    <w:rsid w:val="5B656EBA"/>
    <w:rsid w:val="5BAF6C35"/>
    <w:rsid w:val="5C3435DF"/>
    <w:rsid w:val="5E1E3496"/>
    <w:rsid w:val="5F1763E4"/>
    <w:rsid w:val="5F5F5274"/>
    <w:rsid w:val="62A72654"/>
    <w:rsid w:val="632052B8"/>
    <w:rsid w:val="64276CF7"/>
    <w:rsid w:val="68CF5493"/>
    <w:rsid w:val="69AC2A06"/>
    <w:rsid w:val="69F7574B"/>
    <w:rsid w:val="6A246956"/>
    <w:rsid w:val="6A7352BC"/>
    <w:rsid w:val="6A796AB5"/>
    <w:rsid w:val="6B197ACE"/>
    <w:rsid w:val="6B3A7760"/>
    <w:rsid w:val="6C0B7B02"/>
    <w:rsid w:val="6C3D1944"/>
    <w:rsid w:val="6CB20017"/>
    <w:rsid w:val="6CE95E66"/>
    <w:rsid w:val="6D71750B"/>
    <w:rsid w:val="6D876A25"/>
    <w:rsid w:val="6FC91BF3"/>
    <w:rsid w:val="70334319"/>
    <w:rsid w:val="71B132B0"/>
    <w:rsid w:val="72CA7645"/>
    <w:rsid w:val="72E2549A"/>
    <w:rsid w:val="736271AD"/>
    <w:rsid w:val="739D7300"/>
    <w:rsid w:val="73BA572D"/>
    <w:rsid w:val="743C3178"/>
    <w:rsid w:val="75EA3101"/>
    <w:rsid w:val="75F515AF"/>
    <w:rsid w:val="763B75EC"/>
    <w:rsid w:val="774071C6"/>
    <w:rsid w:val="784640AC"/>
    <w:rsid w:val="785B3F75"/>
    <w:rsid w:val="79E91202"/>
    <w:rsid w:val="7A2E08A9"/>
    <w:rsid w:val="7A746118"/>
    <w:rsid w:val="7AE37712"/>
    <w:rsid w:val="7C0A1193"/>
    <w:rsid w:val="7C4D0010"/>
    <w:rsid w:val="7CF44AE0"/>
    <w:rsid w:val="7D2F6B73"/>
    <w:rsid w:val="7FA7126D"/>
    <w:rsid w:val="FEE73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beforeLines="30"/>
    </w:pPr>
    <w:rPr>
      <w:rFonts w:ascii="仿宋_GB2312" w:eastAsia="仿宋_GB2312" w:hAnsiTheme="minorHAnsi" w:cstheme="minorBidi"/>
      <w:kern w:val="0"/>
      <w:sz w:val="30"/>
      <w:szCs w:val="22"/>
    </w:rPr>
  </w:style>
  <w:style w:type="paragraph" w:styleId="5">
    <w:name w:val="Balloon Text"/>
    <w:basedOn w:val="1"/>
    <w:link w:val="18"/>
    <w:qFormat/>
    <w:uiPriority w:val="0"/>
    <w:rPr>
      <w:sz w:val="18"/>
      <w:szCs w:val="18"/>
    </w:rPr>
  </w:style>
  <w:style w:type="paragraph" w:styleId="6">
    <w:name w:val="footer"/>
    <w:basedOn w:val="1"/>
    <w:next w:val="1"/>
    <w:link w:val="20"/>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bCs/>
    </w:rPr>
  </w:style>
  <w:style w:type="character" w:styleId="14">
    <w:name w:val="Hyperlink"/>
    <w:basedOn w:val="12"/>
    <w:qFormat/>
    <w:uiPriority w:val="0"/>
    <w:rPr>
      <w:rFonts w:hint="eastAsia" w:ascii="微软雅黑" w:eastAsia="微软雅黑"/>
      <w:color w:val="666666"/>
      <w:u w:val="none"/>
    </w:rPr>
  </w:style>
  <w:style w:type="character" w:customStyle="1" w:styleId="15">
    <w:name w:val="标题 1 Char"/>
    <w:basedOn w:val="12"/>
    <w:link w:val="3"/>
    <w:qFormat/>
    <w:uiPriority w:val="9"/>
    <w:rPr>
      <w:b/>
      <w:bCs/>
      <w:kern w:val="44"/>
      <w:sz w:val="44"/>
      <w:szCs w:val="44"/>
    </w:rPr>
  </w:style>
  <w:style w:type="character" w:customStyle="1" w:styleId="16">
    <w:name w:val="标题 2 Char"/>
    <w:basedOn w:val="12"/>
    <w:link w:val="4"/>
    <w:qFormat/>
    <w:uiPriority w:val="9"/>
    <w:rPr>
      <w:rFonts w:ascii="Cambria" w:hAnsi="Cambria" w:eastAsia="宋体" w:cs="Times New Roman"/>
      <w:b/>
      <w:bCs/>
      <w:sz w:val="32"/>
      <w:szCs w:val="32"/>
    </w:rPr>
  </w:style>
  <w:style w:type="paragraph" w:styleId="17">
    <w:name w:val="List Paragraph"/>
    <w:basedOn w:val="1"/>
    <w:qFormat/>
    <w:uiPriority w:val="34"/>
    <w:pPr>
      <w:ind w:firstLine="420" w:firstLineChars="200"/>
    </w:pPr>
  </w:style>
  <w:style w:type="character" w:customStyle="1" w:styleId="18">
    <w:name w:val="批注框文本 Char"/>
    <w:basedOn w:val="12"/>
    <w:link w:val="5"/>
    <w:qFormat/>
    <w:uiPriority w:val="0"/>
    <w:rPr>
      <w:rFonts w:ascii="Times New Roman" w:hAnsi="Times New Roman"/>
      <w:kern w:val="2"/>
      <w:sz w:val="18"/>
      <w:szCs w:val="18"/>
    </w:rPr>
  </w:style>
  <w:style w:type="character" w:customStyle="1" w:styleId="19">
    <w:name w:val="正文文本 Char"/>
    <w:basedOn w:val="12"/>
    <w:link w:val="2"/>
    <w:qFormat/>
    <w:uiPriority w:val="99"/>
    <w:rPr>
      <w:rFonts w:ascii="仿宋_GB2312" w:eastAsia="仿宋_GB2312" w:hAnsiTheme="minorHAnsi" w:cstheme="minorBidi"/>
      <w:sz w:val="30"/>
      <w:szCs w:val="22"/>
    </w:rPr>
  </w:style>
  <w:style w:type="character" w:customStyle="1" w:styleId="20">
    <w:name w:val="页脚 Char"/>
    <w:basedOn w:val="12"/>
    <w:link w:val="6"/>
    <w:qFormat/>
    <w:uiPriority w:val="99"/>
    <w:rPr>
      <w:rFonts w:ascii="Times New Roman" w:hAnsi="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001\Documents\WeChat%20Files\wxid_ymz82szic4lm22\FileStorage\File\2022-10\2021&#20915;&#31639;&#22270;&#34920;&#27169;&#26495;%20-%20&#21103;&#2641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001\Documents\WeChat%20Files\wxid_ymz82szic4lm22\FileStorage\File\2022-10\2021&#20915;&#31639;&#22270;&#34920;&#27169;&#26495;%20-%20&#21103;&#264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001\Documents\WeChat%20Files\wxid_ymz82szic4lm22\FileStorage\File\2022-10\2021&#20915;&#31639;&#22270;&#34920;&#27169;&#26495;%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001\Documents\WeChat%20Files\wxid_ymz82szic4lm22\FileStorage\File\2022-10\2021&#20915;&#31639;&#22270;&#34920;&#27169;&#26495;%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001\Documents\WeChat%20Files\wxid_ymz82szic4lm22\FileStorage\File\2022-10\2021&#20915;&#31639;&#22270;&#34920;&#27169;&#26495;%20-%20&#21103;&#264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001\Documents\WeChat%20Files\wxid_ymz82szic4lm22\FileStorage\File\2022-10\2021&#20915;&#31639;&#22270;&#34920;&#27169;&#26495;%20-%20&#21103;&#26412;.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charset="-122"/>
                <a:ea typeface="宋体" charset="-122"/>
                <a:cs typeface="宋体"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altLang="en-US" sz="1400" b="0" i="0" u="none" strike="noStrike" baseline="0">
                <a:solidFill>
                  <a:srgbClr val="333333"/>
                </a:solidFill>
                <a:latin typeface="宋体" charset="-122"/>
                <a:ea typeface="宋体" charset="-122"/>
                <a:cs typeface="宋体" charset="-122"/>
              </a:rPr>
              <a:t>：收、支决算总计变动情况图  </a:t>
            </a:r>
            <a:r>
              <a:rPr altLang="en-US" sz="1000" b="0" i="0" u="none" strike="noStrike" baseline="0">
                <a:solidFill>
                  <a:srgbClr val="333333"/>
                </a:solidFill>
                <a:latin typeface="宋体" charset="-122"/>
                <a:ea typeface="宋体" charset="-122"/>
                <a:cs typeface="宋体" charset="-122"/>
              </a:rPr>
              <a:t>（万元）</a:t>
            </a:r>
            <a:endParaRPr altLang="en-US"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dLbl>
              <c:idx val="0"/>
              <c:layout>
                <c:manualLayout>
                  <c:x val="-0.00625"/>
                  <c:y val="-0.236165779115536"/>
                </c:manualLayout>
              </c:layout>
              <c:dLblPos val="inBase"/>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416666666666667"/>
                  <c:y val="-0.666821023385043"/>
                </c:manualLayout>
              </c:layout>
              <c:dLblPos val="inBase"/>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Base"/>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'[2021决算图表模板 - 副本.xls]2020年'!$A$1:$A$2</c:f>
              <c:strCache>
                <c:ptCount val="2"/>
                <c:pt idx="0">
                  <c:v>2020年</c:v>
                </c:pt>
                <c:pt idx="1">
                  <c:v>2021年</c:v>
                </c:pt>
              </c:strCache>
            </c:strRef>
          </c:cat>
          <c:val>
            <c:numRef>
              <c:f>'[2021决算图表模板 - 副本.xls]2020年'!$B$1:$B$2</c:f>
              <c:numCache>
                <c:formatCode>General</c:formatCode>
                <c:ptCount val="2"/>
                <c:pt idx="0">
                  <c:v>1482.66</c:v>
                </c:pt>
                <c:pt idx="1">
                  <c:v>1645.26</c:v>
                </c:pt>
              </c:numCache>
            </c:numRef>
          </c:val>
        </c:ser>
        <c:dLbls>
          <c:showLegendKey val="false"/>
          <c:showVal val="false"/>
          <c:showCatName val="false"/>
          <c:showSerName val="false"/>
          <c:showPercent val="false"/>
          <c:showBubbleSize val="false"/>
        </c:dLbls>
        <c:gapWidth val="150"/>
        <c:overlap val="100"/>
        <c:axId val="176587520"/>
        <c:axId val="176590208"/>
      </c:barChart>
      <c:catAx>
        <c:axId val="17658752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76590208"/>
        <c:crosses val="autoZero"/>
        <c:auto val="true"/>
        <c:lblAlgn val="ctr"/>
        <c:lblOffset val="100"/>
        <c:noMultiLvlLbl val="false"/>
      </c:catAx>
      <c:valAx>
        <c:axId val="17659020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7658752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charset="-122"/>
                <a:ea typeface="宋体" charset="-122"/>
                <a:cs typeface="宋体"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a:t>
            </a:r>
            <a:r>
              <a:rPr altLang="en-US" sz="1400" b="0" i="0" u="none" strike="noStrike" baseline="0">
                <a:solidFill>
                  <a:srgbClr val="333333"/>
                </a:solidFill>
                <a:latin typeface="宋体" charset="-122"/>
                <a:ea typeface="宋体" charset="-122"/>
                <a:cs typeface="宋体" charset="-122"/>
              </a:rPr>
              <a:t>：</a:t>
            </a:r>
            <a:r>
              <a:rPr sz="1400" b="0" i="0" u="none" strike="noStrike" baseline="0">
                <a:solidFill>
                  <a:srgbClr val="333333"/>
                </a:solidFill>
                <a:latin typeface="宋体" charset="-122"/>
                <a:ea typeface="宋体" charset="-122"/>
                <a:cs typeface="宋体" charset="-122"/>
              </a:rPr>
              <a:t>收入决算结构图</a:t>
            </a:r>
            <a:endParaRPr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87.47</a:t>
                    </a:r>
                    <a:r>
                      <a:t>%</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12.53</a:t>
                    </a:r>
                    <a:r>
                      <a:t>%</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'[2021决算图表模板 - 副本.xls]2020年'!$A$20:$A$21</c:f>
              <c:strCache>
                <c:ptCount val="2"/>
                <c:pt idx="0">
                  <c:v>一般公共预算财政拨款收入</c:v>
                </c:pt>
                <c:pt idx="1">
                  <c:v>二、政府性基金预算财政拨款</c:v>
                </c:pt>
              </c:strCache>
            </c:strRef>
          </c:cat>
          <c:val>
            <c:numRef>
              <c:f>'[2021决算图表模板 - 副本.xls]2020年'!$B$20:$B$21</c:f>
              <c:numCache>
                <c:formatCode>0.00%</c:formatCode>
                <c:ptCount val="2"/>
                <c:pt idx="0">
                  <c:v>0.9688</c:v>
                </c:pt>
                <c:pt idx="1">
                  <c:v>0.0312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charset="-122"/>
                <a:ea typeface="宋体" charset="-122"/>
                <a:cs typeface="宋体"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a:t>
            </a:r>
            <a:r>
              <a:rPr sz="1400" b="0" i="0" u="none" strike="noStrike" baseline="0">
                <a:solidFill>
                  <a:srgbClr val="333333"/>
                </a:solidFill>
                <a:latin typeface="宋体" charset="-122"/>
                <a:ea typeface="宋体" charset="-122"/>
                <a:cs typeface="宋体" charset="-122"/>
              </a:rPr>
              <a:t>：支出决算结构图</a:t>
            </a:r>
            <a:endParaRPr sz="1400" b="0" i="0" u="none" strike="noStrike" baseline="0">
              <a:solidFill>
                <a:srgbClr val="333333"/>
              </a:solidFill>
              <a:latin typeface="宋体" charset="-122"/>
              <a:ea typeface="宋体" charset="-122"/>
              <a:cs typeface="宋体"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manualLayout>
          <c:layoutTarget val="inner"/>
          <c:xMode val="edge"/>
          <c:yMode val="edge"/>
          <c:x val="0.319861111111111"/>
          <c:y val="0.247222222222222"/>
          <c:w val="0.360277777777778"/>
          <c:h val="0.600462962962963"/>
        </c:manualLayout>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87.47</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12.53</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'[2021决算图表模板 - 副本.xls]2020年'!$A$39:$A$40</c:f>
              <c:strCache>
                <c:ptCount val="2"/>
                <c:pt idx="0">
                  <c:v>一般公共预算财政拨款收入</c:v>
                </c:pt>
                <c:pt idx="1">
                  <c:v>二、政府性基金预算财政拨款</c:v>
                </c:pt>
              </c:strCache>
            </c:strRef>
          </c:cat>
          <c:val>
            <c:numRef>
              <c:f>'[2021决算图表模板 - 副本.xls]2020年'!$B$39:$B$40</c:f>
              <c:numCache>
                <c:formatCode>0.00%</c:formatCode>
                <c:ptCount val="2"/>
                <c:pt idx="0">
                  <c:v>0.9571</c:v>
                </c:pt>
                <c:pt idx="1">
                  <c:v>0.0429</c:v>
                </c:pt>
              </c:numCache>
            </c:numRef>
          </c:val>
        </c:ser>
        <c:ser>
          <c:idx val="1"/>
          <c:order val="1"/>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Lbls>
            <c:delete val="true"/>
          </c:dLbls>
          <c:cat>
            <c:strRef>
              <c:f>'[2021决算图表模板 - 副本.xls]2020年'!$A$39:$A$40</c:f>
              <c:strCache>
                <c:ptCount val="2"/>
                <c:pt idx="0">
                  <c:v>一般公共预算财政拨款收入</c:v>
                </c:pt>
                <c:pt idx="1">
                  <c:v>二、政府性基金预算财政拨款</c:v>
                </c:pt>
              </c:strCache>
            </c:strRef>
          </c:cat>
          <c:val>
            <c:numRef>
              <c:f>'[2021决算图表模板 - 副本.xls]2020年'!$C$39:$C$45</c:f>
              <c:numCache>
                <c:formatCode>General</c:formatCode>
                <c:ptCount val="7"/>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200" b="0" i="0" u="none" strike="noStrike" baseline="0">
                <a:solidFill>
                  <a:srgbClr val="333333"/>
                </a:solidFill>
                <a:latin typeface="宋体" charset="-122"/>
                <a:ea typeface="宋体" charset="-122"/>
                <a:cs typeface="宋体" charset="-122"/>
              </a:rPr>
              <a:t>图4：财政拨款收、支决算总计变动情况  （</a:t>
            </a:r>
            <a:r>
              <a:rPr sz="900" b="0" i="0" u="none" strike="noStrike" baseline="0">
                <a:solidFill>
                  <a:srgbClr val="333333"/>
                </a:solidFill>
                <a:latin typeface="宋体" charset="-122"/>
                <a:ea typeface="宋体" charset="-122"/>
                <a:cs typeface="宋体" charset="-122"/>
              </a:rPr>
              <a:t>万元）</a:t>
            </a:r>
            <a:endParaRPr sz="1400" b="0" i="0" u="none" strike="noStrike" baseline="0">
              <a:solidFill>
                <a:srgbClr val="333333"/>
              </a:solidFill>
              <a:latin typeface="宋体" charset="-122"/>
              <a:ea typeface="宋体" charset="-122"/>
              <a:cs typeface="宋体"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manualLayout>
                  <c:x val="0"/>
                  <c:y val="-0.100694444444444"/>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625"/>
                  <c:y val="-0.100694444444444"/>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'[2021决算图表模板 - 副本.xls]2020年'!$A$58:$B$58</c:f>
              <c:strCache>
                <c:ptCount val="2"/>
                <c:pt idx="0">
                  <c:v>2020年收入、支出</c:v>
                </c:pt>
                <c:pt idx="1">
                  <c:v>2021年收入、支出</c:v>
                </c:pt>
              </c:strCache>
            </c:strRef>
          </c:cat>
          <c:val>
            <c:numRef>
              <c:f>'[2021决算图表模板 - 副本.xls]2020年'!$A$59:$B$59</c:f>
              <c:numCache>
                <c:formatCode>General</c:formatCode>
                <c:ptCount val="2"/>
                <c:pt idx="0">
                  <c:v>1482.66</c:v>
                </c:pt>
                <c:pt idx="1">
                  <c:v>1645.26</c:v>
                </c:pt>
              </c:numCache>
            </c:numRef>
          </c:val>
        </c:ser>
        <c:dLbls>
          <c:showLegendKey val="false"/>
          <c:showVal val="false"/>
          <c:showCatName val="false"/>
          <c:showSerName val="false"/>
          <c:showPercent val="false"/>
          <c:showBubbleSize val="false"/>
        </c:dLbls>
        <c:gapWidth val="219"/>
        <c:overlap val="-27"/>
        <c:axId val="71545984"/>
        <c:axId val="71547520"/>
      </c:barChart>
      <c:catAx>
        <c:axId val="7154598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547520"/>
        <c:crosses val="autoZero"/>
        <c:auto val="true"/>
        <c:lblAlgn val="ctr"/>
        <c:lblOffset val="100"/>
        <c:noMultiLvlLbl val="false"/>
      </c:catAx>
      <c:valAx>
        <c:axId val="7154752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54598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200" b="0" i="0" u="none" strike="noStrike" baseline="0">
                <a:solidFill>
                  <a:srgbClr val="333333"/>
                </a:solidFill>
                <a:latin typeface="宋体" charset="-122"/>
                <a:ea typeface="宋体" charset="-122"/>
                <a:cs typeface="宋体" charset="-122"/>
              </a:rPr>
              <a:t>图5：一般公共预算财政拨款支出决算变动情况  </a:t>
            </a:r>
            <a:r>
              <a:rPr sz="900" b="0" i="0" u="none" strike="noStrike" baseline="0">
                <a:solidFill>
                  <a:srgbClr val="333333"/>
                </a:solidFill>
                <a:latin typeface="宋体" charset="-122"/>
                <a:ea typeface="宋体" charset="-122"/>
                <a:cs typeface="宋体" charset="-122"/>
              </a:rPr>
              <a:t>（万元）</a:t>
            </a:r>
            <a:endParaRPr sz="1400" b="0" i="0" u="none" strike="noStrike" baseline="0">
              <a:solidFill>
                <a:srgbClr val="333333"/>
              </a:solidFill>
              <a:latin typeface="宋体" charset="-122"/>
              <a:ea typeface="宋体" charset="-122"/>
              <a:cs typeface="宋体"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sz="1200" b="0" i="0" u="none" strike="noStrike" baseline="0">
              <a:solidFill>
                <a:srgbClr val="000000"/>
              </a:solidFill>
              <a:latin typeface="宋体" charset="-122"/>
              <a:ea typeface="宋体" charset="-122"/>
              <a:cs typeface="宋体" charset="-122"/>
            </a:endParaRPr>
          </a:p>
        </c:rich>
      </c:tx>
      <c:layout/>
      <c:overlay val="false"/>
      <c:spPr>
        <a:noFill/>
        <a:ln>
          <a:noFill/>
        </a:ln>
        <a:effectLst/>
      </c:spPr>
    </c:title>
    <c:autoTitleDeleted val="false"/>
    <c:plotArea>
      <c:layout>
        <c:manualLayout>
          <c:layoutTarget val="inner"/>
          <c:xMode val="edge"/>
          <c:yMode val="edge"/>
          <c:x val="0.0789722222222222"/>
          <c:y val="0.176388888888889"/>
          <c:w val="0.894638888888889"/>
          <c:h val="0.711666666666667"/>
        </c:manualLayout>
      </c:layout>
      <c:barChart>
        <c:barDir val="col"/>
        <c:grouping val="clustered"/>
        <c:varyColors val="false"/>
        <c:ser>
          <c:idx val="0"/>
          <c:order val="0"/>
          <c:spPr>
            <a:solidFill>
              <a:schemeClr val="accent1"/>
            </a:solidFill>
            <a:ln>
              <a:noFill/>
            </a:ln>
            <a:effectLst/>
          </c:spPr>
          <c:invertIfNegative val="false"/>
          <c:dLbls>
            <c:dLbl>
              <c:idx val="0"/>
              <c:layout>
                <c:manualLayout>
                  <c:x val="0.00625"/>
                  <c:y val="-0.100694444444444"/>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104166666666667"/>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'[2021决算图表模板 - 副本.xls]2020年'!$A$75:$B$75</c:f>
              <c:strCache>
                <c:ptCount val="2"/>
                <c:pt idx="0">
                  <c:v>2020年收入、支出</c:v>
                </c:pt>
                <c:pt idx="1">
                  <c:v>2021年收入、支出</c:v>
                </c:pt>
              </c:strCache>
            </c:strRef>
          </c:cat>
          <c:val>
            <c:numRef>
              <c:f>'[2021决算图表模板 - 副本.xls]2020年'!$A$76:$B$76</c:f>
              <c:numCache>
                <c:formatCode>General</c:formatCode>
                <c:ptCount val="2"/>
                <c:pt idx="0">
                  <c:v>1276.48</c:v>
                </c:pt>
                <c:pt idx="1">
                  <c:v>1439.08</c:v>
                </c:pt>
              </c:numCache>
            </c:numRef>
          </c:val>
        </c:ser>
        <c:dLbls>
          <c:showLegendKey val="false"/>
          <c:showVal val="false"/>
          <c:showCatName val="false"/>
          <c:showSerName val="false"/>
          <c:showPercent val="false"/>
          <c:showBubbleSize val="false"/>
        </c:dLbls>
        <c:gapWidth val="219"/>
        <c:overlap val="-27"/>
        <c:axId val="71564288"/>
        <c:axId val="75911936"/>
      </c:barChart>
      <c:catAx>
        <c:axId val="7156428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5911936"/>
        <c:crosses val="autoZero"/>
        <c:auto val="true"/>
        <c:lblAlgn val="ctr"/>
        <c:lblOffset val="100"/>
        <c:noMultiLvlLbl val="false"/>
      </c:catAx>
      <c:valAx>
        <c:axId val="7591193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56428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endParaRPr sz="1400" b="0" i="0" u="none" strike="noStrike" baseline="0">
              <a:solidFill>
                <a:srgbClr val="595959">
                  <a:alpha val="100000"/>
                </a:srgbClr>
              </a:solidFill>
              <a:latin typeface="宋体" charset="-122"/>
              <a:ea typeface="宋体" charset="-122"/>
              <a:cs typeface="宋体" charset="-122"/>
            </a:endParaRPr>
          </a:p>
        </c:rich>
      </c:tx>
      <c:layout>
        <c:manualLayout>
          <c:xMode val="edge"/>
          <c:yMode val="edge"/>
          <c:x val="0.135833333333333"/>
          <c:y val="0.0334655428854735"/>
        </c:manualLayout>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dPt>
          <c:dPt>
            <c:idx val="7"/>
            <c:bubble3D val="false"/>
          </c:dPt>
          <c:dLbls>
            <c:dLbl>
              <c:idx val="1"/>
              <c:layout>
                <c:manualLayout>
                  <c:x val="0.0458333333333333"/>
                  <c:y val="-0.00371839365394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8125"/>
                  <c:y val="0.0074367873078829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3125"/>
                  <c:y val="0.018591968269707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1875"/>
                  <c:y val="-0.033465542885473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770833333333333"/>
                  <c:y val="0.01487357461576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'[2021决算图表模板 - 副本.xls]2020年'!$A$89:$A$96</c:f>
              <c:strCache>
                <c:ptCount val="8"/>
                <c:pt idx="0">
                  <c:v>一般公共服务支出</c:v>
                </c:pt>
                <c:pt idx="1">
                  <c:v>社会保障和就业支出</c:v>
                </c:pt>
                <c:pt idx="2">
                  <c:v>卫生健康支出</c:v>
                </c:pt>
                <c:pt idx="3">
                  <c:v>城乡社区支出</c:v>
                </c:pt>
                <c:pt idx="4">
                  <c:v>农林水支出</c:v>
                </c:pt>
                <c:pt idx="5">
                  <c:v>住房保障支出</c:v>
                </c:pt>
                <c:pt idx="6">
                  <c:v>灾害防治及应急管理支出</c:v>
                </c:pt>
                <c:pt idx="7">
                  <c:v>节能环保支出</c:v>
                </c:pt>
              </c:strCache>
            </c:strRef>
          </c:cat>
          <c:val>
            <c:numRef>
              <c:f>'[2021决算图表模板 - 副本.xls]2020年'!$B$89:$B$96</c:f>
              <c:numCache>
                <c:formatCode>0.00%</c:formatCode>
                <c:ptCount val="8"/>
                <c:pt idx="0">
                  <c:v>0.3851</c:v>
                </c:pt>
                <c:pt idx="1">
                  <c:v>0.08</c:v>
                </c:pt>
                <c:pt idx="2">
                  <c:v>0.0093</c:v>
                </c:pt>
                <c:pt idx="3">
                  <c:v>0.0049</c:v>
                </c:pt>
                <c:pt idx="4">
                  <c:v>0.4685</c:v>
                </c:pt>
                <c:pt idx="5">
                  <c:v>0.0338</c:v>
                </c:pt>
                <c:pt idx="6">
                  <c:v>0.0108</c:v>
                </c:pt>
                <c:pt idx="7">
                  <c:v>0.0076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explosion val="0"/>
          <c:dPt>
            <c:idx val="0"/>
            <c:bubble3D val="false"/>
          </c:dPt>
          <c:dPt>
            <c:idx val="1"/>
            <c:bubble3D val="false"/>
          </c:dPt>
          <c:dPt>
            <c:idx val="2"/>
            <c:bubble3D val="false"/>
          </c:dPt>
          <c:dLbls>
            <c:delete val="true"/>
          </c:dLbls>
          <c:cat>
            <c:strRef>
              <c:f>Sheet1!$A$2:$A$4</c:f>
              <c:strCache>
                <c:ptCount val="3"/>
                <c:pt idx="0">
                  <c:v>因公出国（境）经费</c:v>
                </c:pt>
                <c:pt idx="1">
                  <c:v>公务用车购置及运行维护费</c:v>
                </c:pt>
                <c:pt idx="2">
                  <c:v>公务接待费</c:v>
                </c:pt>
              </c:strCache>
            </c:strRef>
          </c:cat>
          <c:val>
            <c:numRef>
              <c:f>Sheet1!$B$2:$B$4</c:f>
              <c:numCache>
                <c:formatCode>General</c:formatCode>
                <c:ptCount val="3"/>
                <c:pt idx="0">
                  <c:v>0</c:v>
                </c:pt>
                <c:pt idx="1">
                  <c:v>0</c:v>
                </c:pt>
                <c:pt idx="2">
                  <c:v>0.54</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16187</Words>
  <Characters>17983</Characters>
  <Lines>45</Lines>
  <Paragraphs>44</Paragraphs>
  <TotalTime>4</TotalTime>
  <ScaleCrop>false</ScaleCrop>
  <LinksUpToDate>false</LinksUpToDate>
  <CharactersWithSpaces>18677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2023-04-12T10:48:00Z</dcterms:created>
  <dc:creator>微软用户</dc:creator>
  <cp:lastModifiedBy>kylin</cp:lastModifiedBy>
  <cp:lastPrinted>2022-10-14T15:33:00Z</cp:lastPrinted>
  <dcterms:modified xsi:type="dcterms:W3CDTF">2023-06-12T16:38:23Z</dcterms:modified>
  <dc:title>岳池县北城乡人民政府关于2016年部门决算编制说明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CE8315EC81B34AFABD319E4E020993A0_13</vt:lpwstr>
  </property>
</Properties>
</file>