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F20DB">
      <w:pPr>
        <w:spacing w:line="600" w:lineRule="exact"/>
        <w:jc w:val="center"/>
        <w:outlineLvl w:val="0"/>
        <w:rPr>
          <w:rFonts w:hint="default" w:ascii="Times New Roman" w:hAnsi="Times New Roman" w:eastAsia="方正小标宋简体" w:cs="Times New Roman"/>
          <w:color w:val="000000"/>
          <w:sz w:val="72"/>
          <w:szCs w:val="72"/>
        </w:rPr>
      </w:pPr>
      <w:bookmarkStart w:id="0" w:name="_Toc15306267"/>
    </w:p>
    <w:p w14:paraId="6164F170">
      <w:pPr>
        <w:spacing w:line="600" w:lineRule="exact"/>
        <w:jc w:val="center"/>
        <w:outlineLvl w:val="0"/>
        <w:rPr>
          <w:rFonts w:hint="default" w:ascii="Times New Roman" w:hAnsi="Times New Roman" w:eastAsia="方正小标宋简体" w:cs="Times New Roman"/>
          <w:color w:val="000000"/>
          <w:sz w:val="72"/>
          <w:szCs w:val="72"/>
        </w:rPr>
      </w:pPr>
    </w:p>
    <w:p w14:paraId="3484FAF4">
      <w:pPr>
        <w:spacing w:line="600" w:lineRule="exact"/>
        <w:jc w:val="center"/>
        <w:outlineLvl w:val="0"/>
        <w:rPr>
          <w:rFonts w:hint="default" w:ascii="Times New Roman" w:hAnsi="Times New Roman" w:eastAsia="方正小标宋简体" w:cs="Times New Roman"/>
          <w:color w:val="000000"/>
          <w:sz w:val="72"/>
          <w:szCs w:val="72"/>
        </w:rPr>
      </w:pPr>
    </w:p>
    <w:p w14:paraId="5F1823C3">
      <w:pPr>
        <w:spacing w:line="600" w:lineRule="exact"/>
        <w:jc w:val="center"/>
        <w:outlineLvl w:val="0"/>
        <w:rPr>
          <w:rFonts w:hint="default" w:ascii="Times New Roman" w:hAnsi="Times New Roman" w:eastAsia="方正小标宋简体" w:cs="Times New Roman"/>
          <w:color w:val="000000"/>
          <w:sz w:val="72"/>
          <w:szCs w:val="72"/>
        </w:rPr>
      </w:pPr>
    </w:p>
    <w:p w14:paraId="427C87C4">
      <w:pPr>
        <w:adjustRightInd w:val="0"/>
        <w:snapToGrid w:val="0"/>
        <w:spacing w:line="360" w:lineRule="auto"/>
        <w:jc w:val="center"/>
        <w:outlineLvl w:val="0"/>
        <w:rPr>
          <w:rFonts w:hint="default" w:ascii="Times New Roman" w:hAnsi="Times New Roman" w:eastAsia="方正小标宋简体" w:cs="Times New Roman"/>
          <w:color w:val="000000"/>
          <w:sz w:val="72"/>
          <w:szCs w:val="72"/>
        </w:rPr>
      </w:pPr>
      <w:bookmarkStart w:id="1" w:name="_Toc15378441"/>
      <w:bookmarkStart w:id="2" w:name="_Toc15396475"/>
      <w:bookmarkStart w:id="3" w:name="_Toc15396597"/>
      <w:bookmarkStart w:id="4" w:name="_Toc15377425"/>
      <w:bookmarkStart w:id="5" w:name="_Toc15377193"/>
      <w:r>
        <w:rPr>
          <w:rFonts w:hint="default" w:ascii="Times New Roman" w:hAnsi="Times New Roman" w:eastAsia="黑体" w:cs="Times New Roman"/>
          <w:color w:val="000000"/>
          <w:sz w:val="72"/>
          <w:szCs w:val="72"/>
        </w:rPr>
        <w:t>202</w:t>
      </w:r>
      <w:r>
        <w:rPr>
          <w:rFonts w:hint="default" w:ascii="Times New Roman" w:hAnsi="Times New Roman" w:eastAsia="黑体" w:cs="Times New Roman"/>
          <w:color w:val="000000"/>
          <w:sz w:val="72"/>
          <w:szCs w:val="72"/>
          <w:lang w:val="en-US" w:eastAsia="zh-CN"/>
        </w:rPr>
        <w:t>2</w:t>
      </w:r>
      <w:r>
        <w:rPr>
          <w:rFonts w:hint="default" w:ascii="Times New Roman" w:hAnsi="Times New Roman" w:eastAsia="方正小标宋简体" w:cs="Times New Roman"/>
          <w:color w:val="000000"/>
          <w:sz w:val="72"/>
          <w:szCs w:val="72"/>
        </w:rPr>
        <w:t>年度</w:t>
      </w:r>
      <w:bookmarkEnd w:id="1"/>
      <w:bookmarkEnd w:id="2"/>
      <w:bookmarkEnd w:id="3"/>
      <w:bookmarkEnd w:id="4"/>
      <w:bookmarkEnd w:id="5"/>
    </w:p>
    <w:bookmarkEnd w:id="0"/>
    <w:p w14:paraId="02225AF6">
      <w:pPr>
        <w:adjustRightInd w:val="0"/>
        <w:snapToGrid w:val="0"/>
        <w:spacing w:line="360" w:lineRule="auto"/>
        <w:jc w:val="center"/>
        <w:outlineLvl w:val="0"/>
        <w:rPr>
          <w:rFonts w:hint="default" w:ascii="Times New Roman" w:hAnsi="Times New Roman" w:eastAsia="方正小标宋简体" w:cs="Times New Roman"/>
          <w:color w:val="000000"/>
          <w:sz w:val="72"/>
          <w:szCs w:val="72"/>
        </w:rPr>
      </w:pPr>
      <w:bookmarkStart w:id="6" w:name="_Toc15378442"/>
      <w:bookmarkStart w:id="7" w:name="_Toc15396476"/>
      <w:bookmarkStart w:id="8" w:name="_Toc15377194"/>
      <w:bookmarkStart w:id="9" w:name="_Toc15377426"/>
      <w:bookmarkStart w:id="10" w:name="_Toc15306268"/>
      <w:bookmarkStart w:id="11" w:name="_Toc15396598"/>
      <w:r>
        <w:rPr>
          <w:rFonts w:hint="eastAsia" w:ascii="Times New Roman" w:hAnsi="Times New Roman" w:eastAsia="方正小标宋简体" w:cs="Times New Roman"/>
          <w:color w:val="000000"/>
          <w:sz w:val="72"/>
          <w:szCs w:val="72"/>
        </w:rPr>
        <w:t>岳池县土地统征整理事务中心</w:t>
      </w:r>
      <w:r>
        <w:rPr>
          <w:rFonts w:hint="default" w:ascii="Times New Roman" w:hAnsi="Times New Roman" w:eastAsia="方正小标宋简体" w:cs="Times New Roman"/>
          <w:color w:val="000000"/>
          <w:sz w:val="72"/>
          <w:szCs w:val="72"/>
          <w:lang w:eastAsia="zh-CN"/>
        </w:rPr>
        <w:t>单位</w:t>
      </w:r>
      <w:r>
        <w:rPr>
          <w:rFonts w:hint="default" w:ascii="Times New Roman" w:hAnsi="Times New Roman" w:eastAsia="方正小标宋简体" w:cs="Times New Roman"/>
          <w:color w:val="000000"/>
          <w:sz w:val="72"/>
          <w:szCs w:val="72"/>
        </w:rPr>
        <w:t>决算</w:t>
      </w:r>
      <w:bookmarkEnd w:id="6"/>
      <w:bookmarkEnd w:id="7"/>
      <w:bookmarkEnd w:id="8"/>
      <w:bookmarkEnd w:id="9"/>
      <w:bookmarkEnd w:id="10"/>
      <w:bookmarkEnd w:id="11"/>
      <w:r>
        <w:rPr>
          <w:rFonts w:hint="default" w:ascii="Times New Roman" w:hAnsi="Times New Roman" w:eastAsia="方正小标宋简体" w:cs="Times New Roman"/>
          <w:color w:val="000000"/>
          <w:sz w:val="72"/>
          <w:szCs w:val="72"/>
        </w:rPr>
        <w:t>编制说明</w:t>
      </w:r>
    </w:p>
    <w:p w14:paraId="62A40EB4">
      <w:pPr>
        <w:widowControl/>
        <w:jc w:val="center"/>
        <w:rPr>
          <w:rFonts w:hint="default" w:ascii="Times New Roman" w:hAnsi="Times New Roman" w:eastAsia="黑体" w:cs="Times New Roman"/>
          <w:color w:val="000000"/>
          <w:sz w:val="48"/>
          <w:szCs w:val="48"/>
        </w:rPr>
      </w:pPr>
      <w:r>
        <w:rPr>
          <w:rFonts w:hint="default" w:ascii="Times New Roman" w:hAnsi="Times New Roman" w:eastAsia="方正小标宋简体" w:cs="Times New Roman"/>
          <w:color w:val="000000"/>
          <w:sz w:val="36"/>
          <w:szCs w:val="36"/>
        </w:rPr>
        <w:br w:type="page"/>
      </w:r>
      <w:r>
        <w:rPr>
          <w:rFonts w:hint="default" w:ascii="Times New Roman" w:hAnsi="Times New Roman" w:eastAsia="黑体" w:cs="Times New Roman"/>
          <w:color w:val="000000"/>
          <w:sz w:val="48"/>
          <w:szCs w:val="48"/>
        </w:rPr>
        <w:t>目录</w:t>
      </w:r>
    </w:p>
    <w:p w14:paraId="5C4BEBA6">
      <w:pPr>
        <w:widowControl/>
        <w:jc w:val="center"/>
        <w:rPr>
          <w:rFonts w:hint="default" w:ascii="Times New Roman" w:hAnsi="Times New Roman" w:eastAsia="黑体" w:cs="Times New Roman"/>
          <w:sz w:val="28"/>
          <w:szCs w:val="28"/>
        </w:rPr>
      </w:pPr>
    </w:p>
    <w:p w14:paraId="1255555D">
      <w:pPr>
        <w:pStyle w:val="11"/>
        <w:rPr>
          <w:rFonts w:hint="default" w:ascii="Times New Roman" w:hAnsi="Times New Roman" w:cs="Times New Roman"/>
          <w:highlight w:val="none"/>
        </w:rPr>
      </w:pPr>
      <w:r>
        <w:rPr>
          <w:rFonts w:hint="default" w:ascii="Times New Roman" w:hAnsi="Times New Roman" w:cs="Times New Roman"/>
          <w:highlight w:val="none"/>
        </w:rPr>
        <w:t>公开时间：202</w:t>
      </w:r>
      <w:r>
        <w:rPr>
          <w:rFonts w:hint="default" w:ascii="Times New Roman" w:hAnsi="Times New Roman" w:cs="Times New Roman"/>
          <w:highlight w:val="none"/>
          <w:lang w:val="en-US" w:eastAsia="zh-CN"/>
        </w:rPr>
        <w:t>3</w:t>
      </w:r>
      <w:r>
        <w:rPr>
          <w:rFonts w:hint="default" w:ascii="Times New Roman" w:hAnsi="Times New Roman" w:cs="Times New Roman"/>
          <w:highlight w:val="none"/>
        </w:rPr>
        <w:t>年</w:t>
      </w:r>
      <w:r>
        <w:rPr>
          <w:rFonts w:hint="eastAsia" w:ascii="Times New Roman" w:hAnsi="Times New Roman" w:cs="Times New Roman"/>
          <w:highlight w:val="none"/>
          <w:lang w:val="en-US" w:eastAsia="zh-CN"/>
        </w:rPr>
        <w:t>10</w:t>
      </w:r>
      <w:r>
        <w:rPr>
          <w:rFonts w:hint="default" w:ascii="Times New Roman" w:hAnsi="Times New Roman" w:cs="Times New Roman"/>
          <w:highlight w:val="none"/>
        </w:rPr>
        <w:t>月</w:t>
      </w:r>
      <w:r>
        <w:rPr>
          <w:rFonts w:hint="eastAsia" w:ascii="Times New Roman" w:hAnsi="Times New Roman" w:cs="Times New Roman"/>
          <w:highlight w:val="none"/>
          <w:lang w:val="en-US" w:eastAsia="zh-CN"/>
        </w:rPr>
        <w:t>20</w:t>
      </w:r>
      <w:r>
        <w:rPr>
          <w:rFonts w:hint="default" w:ascii="Times New Roman" w:hAnsi="Times New Roman" w:cs="Times New Roman"/>
          <w:highlight w:val="none"/>
        </w:rPr>
        <w:t>日</w:t>
      </w:r>
    </w:p>
    <w:p w14:paraId="09F764E7">
      <w:pPr>
        <w:widowControl/>
        <w:adjustRightInd w:val="0"/>
        <w:snapToGrid w:val="0"/>
        <w:spacing w:line="440" w:lineRule="exact"/>
        <w:jc w:val="left"/>
        <w:rPr>
          <w:rFonts w:hint="default" w:ascii="Times New Roman" w:hAnsi="Times New Roman" w:cs="Times New Roman"/>
        </w:rPr>
      </w:pPr>
    </w:p>
    <w:p w14:paraId="45091E3D">
      <w:pPr>
        <w:rPr>
          <w:rFonts w:hint="default" w:ascii="Times New Roman" w:hAnsi="Times New Roman" w:cs="Times New Roman"/>
        </w:rPr>
      </w:pPr>
    </w:p>
    <w:p w14:paraId="13A2E688">
      <w:pPr>
        <w:pStyle w:val="11"/>
        <w:widowControl w:val="0"/>
        <w:wordWrap/>
        <w:adjustRightInd w:val="0"/>
        <w:snapToGrid w:val="0"/>
        <w:spacing w:before="0" w:line="440" w:lineRule="exact"/>
        <w:ind w:left="0" w:leftChars="0" w:right="0" w:firstLine="0" w:firstLineChars="0"/>
        <w:jc w:val="left"/>
        <w:textAlignment w:val="auto"/>
        <w:outlineLvl w:val="9"/>
        <w:rPr>
          <w:rFonts w:hint="default" w:ascii="Times New Roman" w:hAnsi="Times New Roman" w:cs="Times New Roman"/>
          <w:sz w:val="24"/>
          <w:szCs w:val="24"/>
          <w:lang w:val="en-US"/>
        </w:rPr>
      </w:pPr>
      <w:r>
        <w:rPr>
          <w:rFonts w:hint="default" w:ascii="Times New Roman" w:hAnsi="Times New Roman" w:cs="Times New Roman"/>
          <w:sz w:val="24"/>
        </w:rPr>
        <w:t xml:space="preserve">第一部分 </w:t>
      </w:r>
      <w:r>
        <w:rPr>
          <w:rFonts w:hint="default" w:ascii="Times New Roman" w:hAnsi="Times New Roman" w:cs="Times New Roman"/>
          <w:sz w:val="24"/>
          <w:lang w:eastAsia="zh-CN"/>
        </w:rPr>
        <w:t>单位</w:t>
      </w:r>
      <w:r>
        <w:rPr>
          <w:rFonts w:hint="default" w:ascii="Times New Roman" w:hAnsi="Times New Roman" w:cs="Times New Roman"/>
          <w:sz w:val="24"/>
        </w:rPr>
        <w:t>概况</w:t>
      </w:r>
      <w:r>
        <w:rPr>
          <w:rFonts w:hint="eastAsia" w:ascii="Times New Roman" w:hAnsi="Times New Roman" w:cs="Times New Roman"/>
          <w:sz w:val="24"/>
          <w:lang w:val="en-US" w:eastAsia="zh-CN"/>
        </w:rPr>
        <w:tab/>
      </w:r>
      <w:r>
        <w:rPr>
          <w:rFonts w:hint="eastAsia" w:ascii="Times New Roman" w:hAnsi="Times New Roman" w:cs="Times New Roman"/>
          <w:sz w:val="24"/>
          <w:lang w:val="en-US" w:eastAsia="zh-CN"/>
        </w:rPr>
        <w:t>4</w:t>
      </w:r>
    </w:p>
    <w:p w14:paraId="1A8BC22B">
      <w:pPr>
        <w:pStyle w:val="12"/>
        <w:adjustRightInd w:val="0"/>
        <w:snapToGrid w:val="0"/>
        <w:spacing w:line="440" w:lineRule="exact"/>
        <w:jc w:val="left"/>
        <w:rPr>
          <w:rFonts w:hint="default" w:ascii="Times New Roman" w:hAnsi="Times New Roman" w:cs="Times New Roman"/>
          <w:sz w:val="24"/>
          <w:lang w:val="en-US"/>
        </w:rPr>
      </w:pPr>
      <w:r>
        <w:rPr>
          <w:rFonts w:hint="default" w:ascii="Times New Roman" w:hAnsi="Times New Roman" w:cs="Times New Roman"/>
          <w:sz w:val="24"/>
        </w:rPr>
        <w:t>一、基本职能</w:t>
      </w:r>
      <w:r>
        <w:rPr>
          <w:rFonts w:hint="eastAsia" w:ascii="Times New Roman" w:hAnsi="Times New Roman" w:cs="Times New Roman"/>
          <w:sz w:val="24"/>
          <w:lang w:eastAsia="zh-CN"/>
        </w:rPr>
        <w:t>及主要工作</w:t>
      </w:r>
      <w:r>
        <w:rPr>
          <w:rFonts w:hint="eastAsia" w:ascii="Times New Roman" w:hAnsi="Times New Roman" w:cs="Times New Roman"/>
          <w:sz w:val="24"/>
          <w:lang w:val="en-US" w:eastAsia="zh-CN"/>
        </w:rPr>
        <w:tab/>
      </w:r>
      <w:r>
        <w:rPr>
          <w:rFonts w:hint="eastAsia" w:cs="Times New Roman"/>
          <w:sz w:val="24"/>
          <w:lang w:val="en-US" w:eastAsia="zh-CN"/>
        </w:rPr>
        <w:t>4</w:t>
      </w:r>
    </w:p>
    <w:p w14:paraId="78A19B92">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cs="Times New Roman"/>
          <w:sz w:val="24"/>
          <w:lang w:eastAsia="zh-CN"/>
        </w:rPr>
        <w:t>二、</w:t>
      </w:r>
      <w:r>
        <w:rPr>
          <w:rFonts w:hint="eastAsia" w:ascii="Times New Roman" w:hAnsi="Times New Roman" w:cs="Times New Roman"/>
          <w:sz w:val="24"/>
          <w:lang w:eastAsia="zh-CN"/>
        </w:rPr>
        <w:t>机构设置</w:t>
      </w:r>
      <w:r>
        <w:rPr>
          <w:rFonts w:hint="eastAsia" w:cs="Times New Roman"/>
          <w:sz w:val="24"/>
          <w:lang w:val="en-US" w:eastAsia="zh-CN"/>
        </w:rPr>
        <w:tab/>
      </w:r>
      <w:r>
        <w:rPr>
          <w:rFonts w:hint="eastAsia" w:cs="Times New Roman"/>
          <w:sz w:val="24"/>
          <w:lang w:val="en-US" w:eastAsia="zh-CN"/>
        </w:rPr>
        <w:t>5</w:t>
      </w:r>
    </w:p>
    <w:p w14:paraId="542876F1">
      <w:pPr>
        <w:pStyle w:val="11"/>
        <w:adjustRightInd w:val="0"/>
        <w:snapToGrid w:val="0"/>
        <w:spacing w:before="0" w:line="440" w:lineRule="exact"/>
        <w:jc w:val="left"/>
        <w:rPr>
          <w:rFonts w:hint="default" w:ascii="Times New Roman" w:hAnsi="Times New Roman" w:cs="Times New Roman"/>
          <w:sz w:val="24"/>
          <w:szCs w:val="24"/>
          <w:lang w:val="en-US"/>
        </w:rPr>
      </w:pPr>
      <w:r>
        <w:rPr>
          <w:rFonts w:hint="default" w:ascii="Times New Roman" w:hAnsi="Times New Roman" w:cs="Times New Roman"/>
          <w:sz w:val="24"/>
        </w:rPr>
        <w:t>第二部分</w:t>
      </w:r>
      <w:r>
        <w:rPr>
          <w:rFonts w:hint="default" w:ascii="Times New Roman" w:hAnsi="Times New Roman" w:cs="Times New Roman"/>
          <w:sz w:val="24"/>
          <w:lang w:val="en-US" w:eastAsia="zh-CN"/>
        </w:rPr>
        <w:t xml:space="preserve"> </w:t>
      </w:r>
      <w:r>
        <w:rPr>
          <w:rFonts w:hint="default" w:ascii="Times New Roman" w:hAnsi="Times New Roman" w:eastAsia="宋体" w:cs="Times New Roman"/>
          <w:kern w:val="2"/>
          <w:sz w:val="24"/>
          <w:szCs w:val="24"/>
          <w:lang w:val="en-US" w:eastAsia="zh-CN" w:bidi="ar-SA"/>
        </w:rPr>
        <w:t>2022年度部门决算情况说明</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6</w:t>
      </w:r>
    </w:p>
    <w:p w14:paraId="7BF44306">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cs="Times New Roman"/>
          <w:sz w:val="24"/>
        </w:rPr>
        <w:t>一、收入支出决算总体情况说明</w:t>
      </w:r>
      <w:r>
        <w:rPr>
          <w:rFonts w:hint="eastAsia" w:cs="Times New Roman"/>
          <w:sz w:val="24"/>
          <w:lang w:val="en-US" w:eastAsia="zh-CN"/>
        </w:rPr>
        <w:tab/>
      </w:r>
      <w:r>
        <w:rPr>
          <w:rFonts w:hint="eastAsia" w:cs="Times New Roman"/>
          <w:sz w:val="24"/>
          <w:lang w:val="en-US" w:eastAsia="zh-CN"/>
        </w:rPr>
        <w:t>6</w:t>
      </w:r>
    </w:p>
    <w:p w14:paraId="31CCBBE3">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cs="Times New Roman"/>
          <w:sz w:val="24"/>
        </w:rPr>
        <w:t>二、收入决算情况说明</w:t>
      </w:r>
      <w:r>
        <w:rPr>
          <w:rFonts w:hint="eastAsia" w:cs="Times New Roman"/>
          <w:sz w:val="24"/>
          <w:lang w:val="en-US" w:eastAsia="zh-CN"/>
        </w:rPr>
        <w:tab/>
      </w:r>
      <w:r>
        <w:rPr>
          <w:rFonts w:hint="eastAsia" w:cs="Times New Roman"/>
          <w:sz w:val="24"/>
          <w:lang w:val="en-US" w:eastAsia="zh-CN"/>
        </w:rPr>
        <w:t>6</w:t>
      </w:r>
    </w:p>
    <w:p w14:paraId="560B20F8">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cs="Times New Roman"/>
          <w:sz w:val="24"/>
        </w:rPr>
        <w:t>三、支出决算情况说明</w:t>
      </w:r>
      <w:r>
        <w:rPr>
          <w:rFonts w:hint="eastAsia" w:cs="Times New Roman"/>
          <w:sz w:val="24"/>
          <w:lang w:val="en-US" w:eastAsia="zh-CN"/>
        </w:rPr>
        <w:tab/>
      </w:r>
      <w:r>
        <w:rPr>
          <w:rFonts w:hint="eastAsia" w:cs="Times New Roman"/>
          <w:sz w:val="24"/>
          <w:lang w:val="en-US" w:eastAsia="zh-CN"/>
        </w:rPr>
        <w:t>7</w:t>
      </w:r>
    </w:p>
    <w:p w14:paraId="5B04F972">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cs="Times New Roman"/>
          <w:sz w:val="24"/>
        </w:rPr>
        <w:t>四、财政拨款收入支出决算总体情况说明</w:t>
      </w:r>
      <w:r>
        <w:rPr>
          <w:rFonts w:hint="eastAsia" w:cs="Times New Roman"/>
          <w:sz w:val="24"/>
          <w:lang w:val="en-US" w:eastAsia="zh-CN"/>
        </w:rPr>
        <w:tab/>
      </w:r>
      <w:r>
        <w:rPr>
          <w:rFonts w:hint="eastAsia" w:cs="Times New Roman"/>
          <w:sz w:val="24"/>
          <w:lang w:val="en-US" w:eastAsia="zh-CN"/>
        </w:rPr>
        <w:t>8</w:t>
      </w:r>
    </w:p>
    <w:p w14:paraId="7D335FC0">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cs="Times New Roman"/>
          <w:sz w:val="24"/>
        </w:rPr>
        <w:t>五、一般公共预算财政拨款支出决算情况说明</w:t>
      </w:r>
      <w:r>
        <w:rPr>
          <w:rFonts w:hint="eastAsia" w:cs="Times New Roman"/>
          <w:sz w:val="24"/>
          <w:lang w:val="en-US" w:eastAsia="zh-CN"/>
        </w:rPr>
        <w:tab/>
      </w:r>
      <w:r>
        <w:rPr>
          <w:rFonts w:hint="eastAsia" w:cs="Times New Roman"/>
          <w:sz w:val="24"/>
          <w:lang w:val="en-US" w:eastAsia="zh-CN"/>
        </w:rPr>
        <w:t>8</w:t>
      </w:r>
    </w:p>
    <w:p w14:paraId="2840BF7F">
      <w:pPr>
        <w:pStyle w:val="12"/>
        <w:adjustRightInd w:val="0"/>
        <w:snapToGrid w:val="0"/>
        <w:spacing w:line="440" w:lineRule="exact"/>
        <w:jc w:val="left"/>
        <w:rPr>
          <w:rFonts w:hint="default" w:ascii="Times New Roman" w:hAnsi="Times New Roman" w:cs="Times New Roman"/>
          <w:sz w:val="24"/>
          <w:lang w:val="en-US"/>
        </w:rPr>
      </w:pPr>
      <w:r>
        <w:rPr>
          <w:rFonts w:hint="default" w:ascii="Times New Roman" w:hAnsi="Times New Roman" w:cs="Times New Roman"/>
          <w:sz w:val="24"/>
        </w:rPr>
        <w:t>六、一般公共预算财政拨款基本支出决算情况说明</w:t>
      </w:r>
      <w:r>
        <w:rPr>
          <w:rFonts w:hint="eastAsia" w:cs="Times New Roman"/>
          <w:sz w:val="24"/>
          <w:lang w:val="en-US" w:eastAsia="zh-CN"/>
        </w:rPr>
        <w:tab/>
      </w:r>
      <w:r>
        <w:rPr>
          <w:rFonts w:hint="eastAsia" w:cs="Times New Roman"/>
          <w:sz w:val="24"/>
          <w:lang w:val="en-US" w:eastAsia="zh-CN"/>
        </w:rPr>
        <w:t>11</w:t>
      </w:r>
    </w:p>
    <w:p w14:paraId="256F8F64">
      <w:pPr>
        <w:pStyle w:val="12"/>
        <w:adjustRightInd w:val="0"/>
        <w:snapToGrid w:val="0"/>
        <w:spacing w:line="440" w:lineRule="exact"/>
        <w:jc w:val="left"/>
        <w:rPr>
          <w:rFonts w:hint="default" w:ascii="Times New Roman" w:hAnsi="Times New Roman" w:cs="Times New Roman"/>
          <w:lang w:val="en-US"/>
        </w:rPr>
      </w:pPr>
      <w:r>
        <w:rPr>
          <w:rFonts w:hint="default" w:ascii="Times New Roman" w:hAnsi="Times New Roman" w:cs="Times New Roman"/>
          <w:sz w:val="24"/>
          <w:lang w:eastAsia="zh-CN"/>
        </w:rPr>
        <w:t>七</w:t>
      </w:r>
      <w:r>
        <w:rPr>
          <w:rFonts w:hint="default" w:ascii="Times New Roman" w:hAnsi="Times New Roman" w:cs="Times New Roman"/>
          <w:sz w:val="24"/>
        </w:rPr>
        <w:t>、一般公共预算财政拨款</w:t>
      </w:r>
      <w:r>
        <w:rPr>
          <w:rFonts w:hint="default" w:ascii="Times New Roman" w:hAnsi="Times New Roman" w:cs="Times New Roman"/>
          <w:sz w:val="24"/>
          <w:lang w:eastAsia="zh-CN"/>
        </w:rPr>
        <w:t>项目</w:t>
      </w:r>
      <w:r>
        <w:rPr>
          <w:rFonts w:hint="default" w:ascii="Times New Roman" w:hAnsi="Times New Roman" w:cs="Times New Roman"/>
          <w:sz w:val="24"/>
        </w:rPr>
        <w:t>支出决算情况说明</w:t>
      </w:r>
      <w:r>
        <w:rPr>
          <w:rFonts w:hint="eastAsia" w:cs="Times New Roman"/>
          <w:sz w:val="24"/>
          <w:lang w:val="en-US" w:eastAsia="zh-CN"/>
        </w:rPr>
        <w:tab/>
      </w:r>
      <w:r>
        <w:rPr>
          <w:rFonts w:hint="eastAsia" w:cs="Times New Roman"/>
          <w:sz w:val="24"/>
          <w:lang w:val="en-US" w:eastAsia="zh-CN"/>
        </w:rPr>
        <w:t>11</w:t>
      </w:r>
    </w:p>
    <w:p w14:paraId="322D9F29">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cs="Times New Roman"/>
          <w:sz w:val="24"/>
          <w:lang w:eastAsia="zh-CN"/>
        </w:rPr>
        <w:t>八</w:t>
      </w:r>
      <w:r>
        <w:rPr>
          <w:rFonts w:hint="default" w:ascii="Times New Roman" w:hAnsi="Times New Roman" w:cs="Times New Roman"/>
          <w:sz w:val="24"/>
        </w:rPr>
        <w:t>、财政拨款“三公”经费支出决算情况说明</w:t>
      </w:r>
      <w:r>
        <w:rPr>
          <w:rFonts w:hint="eastAsia" w:cs="Times New Roman"/>
          <w:sz w:val="24"/>
          <w:lang w:val="en-US" w:eastAsia="zh-CN"/>
        </w:rPr>
        <w:tab/>
      </w:r>
      <w:r>
        <w:rPr>
          <w:rFonts w:hint="eastAsia" w:cs="Times New Roman"/>
          <w:sz w:val="24"/>
          <w:lang w:val="en-US" w:eastAsia="zh-CN"/>
        </w:rPr>
        <w:t>11</w:t>
      </w:r>
    </w:p>
    <w:p w14:paraId="6ED69954">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cs="Times New Roman"/>
          <w:sz w:val="24"/>
          <w:lang w:eastAsia="zh-CN"/>
        </w:rPr>
        <w:t>九</w:t>
      </w:r>
      <w:r>
        <w:rPr>
          <w:rFonts w:hint="default" w:ascii="Times New Roman" w:hAnsi="Times New Roman" w:cs="Times New Roman"/>
          <w:sz w:val="24"/>
        </w:rPr>
        <w:t>、政府性基金预算支出决算情况说明</w:t>
      </w:r>
      <w:r>
        <w:rPr>
          <w:rFonts w:hint="eastAsia" w:cs="Times New Roman"/>
          <w:sz w:val="24"/>
          <w:lang w:val="en-US" w:eastAsia="zh-CN"/>
        </w:rPr>
        <w:tab/>
      </w:r>
      <w:r>
        <w:rPr>
          <w:rFonts w:hint="eastAsia" w:cs="Times New Roman"/>
          <w:sz w:val="24"/>
          <w:lang w:val="en-US" w:eastAsia="zh-CN"/>
        </w:rPr>
        <w:t>14</w:t>
      </w:r>
    </w:p>
    <w:p w14:paraId="27E20188">
      <w:pPr>
        <w:pStyle w:val="12"/>
        <w:adjustRightInd w:val="0"/>
        <w:snapToGrid w:val="0"/>
        <w:spacing w:line="440" w:lineRule="exact"/>
        <w:ind w:leftChars="0"/>
        <w:jc w:val="left"/>
        <w:rPr>
          <w:rFonts w:hint="default" w:ascii="Times New Roman" w:hAnsi="Times New Roman" w:eastAsia="仿宋" w:cs="Times New Roman"/>
          <w:sz w:val="24"/>
          <w:lang w:val="en-US"/>
        </w:rPr>
      </w:pPr>
      <w:r>
        <w:rPr>
          <w:rFonts w:hint="default" w:ascii="Times New Roman" w:hAnsi="Times New Roman" w:eastAsia="仿宋" w:cs="Times New Roman"/>
          <w:sz w:val="24"/>
          <w:lang w:eastAsia="zh-CN"/>
        </w:rPr>
        <w:t>十</w:t>
      </w:r>
      <w:r>
        <w:rPr>
          <w:rFonts w:hint="default" w:ascii="Times New Roman" w:hAnsi="Times New Roman" w:eastAsia="仿宋" w:cs="Times New Roman"/>
          <w:sz w:val="24"/>
        </w:rPr>
        <w:t>、</w:t>
      </w:r>
      <w:r>
        <w:rPr>
          <w:rFonts w:hint="default" w:ascii="Times New Roman" w:hAnsi="Times New Roman" w:cs="Times New Roman"/>
          <w:sz w:val="24"/>
        </w:rPr>
        <w:t xml:space="preserve"> 国有资本经营预算支出决算情况说明</w:t>
      </w:r>
      <w:r>
        <w:rPr>
          <w:rFonts w:hint="eastAsia" w:cs="Times New Roman"/>
          <w:sz w:val="24"/>
          <w:lang w:val="en-US" w:eastAsia="zh-CN"/>
        </w:rPr>
        <w:tab/>
      </w:r>
      <w:r>
        <w:rPr>
          <w:rFonts w:hint="eastAsia" w:cs="Times New Roman"/>
          <w:sz w:val="24"/>
          <w:lang w:val="en-US" w:eastAsia="zh-CN"/>
        </w:rPr>
        <w:t>14</w:t>
      </w:r>
    </w:p>
    <w:p w14:paraId="754056B7">
      <w:pPr>
        <w:widowControl w:val="0"/>
        <w:tabs>
          <w:tab w:val="left" w:leader="dot" w:pos="8358"/>
        </w:tabs>
        <w:wordWrap/>
        <w:adjustRightInd w:val="0"/>
        <w:snapToGrid w:val="0"/>
        <w:spacing w:line="440" w:lineRule="exact"/>
        <w:ind w:left="0" w:leftChars="0" w:right="0" w:firstLine="420" w:firstLineChars="175"/>
        <w:jc w:val="left"/>
        <w:textAlignment w:val="auto"/>
        <w:outlineLvl w:val="9"/>
        <w:rPr>
          <w:rFonts w:hint="default" w:ascii="Times New Roman" w:hAnsi="Times New Roman" w:eastAsia="宋体" w:cs="Times New Roman"/>
          <w:sz w:val="24"/>
          <w:lang w:val="en-US" w:eastAsia="zh-CN"/>
        </w:rPr>
      </w:pPr>
      <w:r>
        <w:rPr>
          <w:rStyle w:val="18"/>
          <w:rFonts w:hint="default" w:ascii="Times New Roman" w:hAnsi="Times New Roman" w:eastAsia="仿宋" w:cs="Times New Roman"/>
          <w:color w:val="000000"/>
          <w:sz w:val="24"/>
          <w:u w:val="none"/>
          <w:lang w:eastAsia="zh-CN"/>
        </w:rPr>
        <w:t>十一</w:t>
      </w:r>
      <w:r>
        <w:rPr>
          <w:rStyle w:val="18"/>
          <w:rFonts w:hint="default" w:ascii="Times New Roman" w:hAnsi="Times New Roman" w:eastAsia="仿宋" w:cs="Times New Roman"/>
          <w:color w:val="000000"/>
          <w:sz w:val="24"/>
          <w:u w:val="none"/>
        </w:rPr>
        <w:t>、</w:t>
      </w:r>
      <w:r>
        <w:rPr>
          <w:rFonts w:hint="default" w:ascii="Times New Roman" w:hAnsi="Times New Roman" w:cs="Times New Roman"/>
          <w:sz w:val="24"/>
        </w:rPr>
        <w:t>其他重要事项的情况说明</w:t>
      </w:r>
      <w:r>
        <w:rPr>
          <w:rFonts w:hint="eastAsia" w:cs="Times New Roman"/>
          <w:sz w:val="24"/>
          <w:lang w:val="en-US" w:eastAsia="zh-CN"/>
        </w:rPr>
        <w:t>.........................................................................14</w:t>
      </w:r>
    </w:p>
    <w:p w14:paraId="57308E47">
      <w:pPr>
        <w:widowControl w:val="0"/>
        <w:tabs>
          <w:tab w:val="left" w:leader="dot" w:pos="8358"/>
        </w:tabs>
        <w:wordWrap/>
        <w:adjustRightInd w:val="0"/>
        <w:snapToGrid w:val="0"/>
        <w:spacing w:line="440" w:lineRule="exact"/>
        <w:ind w:left="0" w:leftChars="0" w:right="0" w:firstLine="420" w:firstLineChars="175"/>
        <w:jc w:val="left"/>
        <w:textAlignment w:val="auto"/>
        <w:outlineLvl w:val="9"/>
        <w:rPr>
          <w:rFonts w:hint="default" w:ascii="Times New Roman" w:hAnsi="Times New Roman" w:cs="Times New Roman"/>
          <w:sz w:val="24"/>
          <w:szCs w:val="24"/>
          <w:lang w:val="en-US"/>
        </w:rPr>
      </w:pPr>
      <w:r>
        <w:rPr>
          <w:rFonts w:hint="default" w:ascii="Times New Roman" w:hAnsi="Times New Roman" w:cs="Times New Roman"/>
          <w:sz w:val="24"/>
        </w:rPr>
        <w:t>第三部分 名词解释</w:t>
      </w:r>
      <w:r>
        <w:rPr>
          <w:rFonts w:hint="eastAsia" w:cs="Times New Roman"/>
          <w:sz w:val="24"/>
          <w:lang w:val="en-US" w:eastAsia="zh-CN"/>
        </w:rPr>
        <w:t>.............................................................................................16</w:t>
      </w:r>
    </w:p>
    <w:p w14:paraId="4CFF77EE">
      <w:pPr>
        <w:pStyle w:val="11"/>
        <w:adjustRightInd w:val="0"/>
        <w:snapToGrid w:val="0"/>
        <w:spacing w:before="0" w:line="440" w:lineRule="exact"/>
        <w:jc w:val="left"/>
        <w:rPr>
          <w:rFonts w:hint="default" w:ascii="Times New Roman" w:hAnsi="Times New Roman" w:cs="Times New Roman"/>
          <w:sz w:val="24"/>
          <w:szCs w:val="24"/>
          <w:lang w:val="en-US"/>
        </w:rPr>
      </w:pPr>
      <w:r>
        <w:rPr>
          <w:rFonts w:hint="default" w:ascii="Times New Roman" w:hAnsi="Times New Roman" w:cs="Times New Roman"/>
          <w:sz w:val="24"/>
        </w:rPr>
        <w:t>第四部分 附件</w:t>
      </w:r>
      <w:r>
        <w:rPr>
          <w:rFonts w:hint="eastAsia" w:ascii="Times New Roman" w:hAnsi="Times New Roman" w:cs="Times New Roman"/>
          <w:sz w:val="24"/>
          <w:lang w:val="en-US" w:eastAsia="zh-CN"/>
        </w:rPr>
        <w:tab/>
      </w:r>
      <w:r>
        <w:rPr>
          <w:rFonts w:hint="eastAsia" w:ascii="Times New Roman" w:hAnsi="Times New Roman" w:cs="Times New Roman"/>
          <w:sz w:val="24"/>
          <w:lang w:val="en-US" w:eastAsia="zh-CN"/>
        </w:rPr>
        <w:t>18</w:t>
      </w:r>
    </w:p>
    <w:p w14:paraId="3F5FF164">
      <w:pPr>
        <w:pStyle w:val="11"/>
        <w:adjustRightInd w:val="0"/>
        <w:snapToGrid w:val="0"/>
        <w:spacing w:before="0" w:line="440" w:lineRule="exact"/>
        <w:jc w:val="left"/>
        <w:rPr>
          <w:rFonts w:hint="default" w:ascii="Times New Roman" w:hAnsi="Times New Roman" w:cs="Times New Roman"/>
          <w:sz w:val="24"/>
          <w:szCs w:val="24"/>
          <w:lang w:val="en-US" w:eastAsia="zh-CN"/>
        </w:rPr>
      </w:pPr>
      <w:r>
        <w:rPr>
          <w:rFonts w:hint="default" w:ascii="Times New Roman" w:hAnsi="Times New Roman" w:cs="Times New Roman"/>
          <w:sz w:val="24"/>
        </w:rPr>
        <w:t>第五部分 附表</w:t>
      </w:r>
      <w:r>
        <w:rPr>
          <w:rFonts w:hint="eastAsia" w:ascii="Times New Roman" w:hAnsi="Times New Roman" w:cs="Times New Roman"/>
          <w:sz w:val="24"/>
          <w:szCs w:val="24"/>
          <w:lang w:val="en-US" w:eastAsia="zh-CN"/>
        </w:rPr>
        <w:tab/>
      </w:r>
      <w:r>
        <w:rPr>
          <w:rFonts w:hint="eastAsia" w:ascii="Times New Roman" w:hAnsi="Times New Roman" w:cs="Times New Roman"/>
          <w:sz w:val="24"/>
          <w:szCs w:val="24"/>
          <w:lang w:val="en-US" w:eastAsia="zh-CN"/>
        </w:rPr>
        <w:t>22</w:t>
      </w:r>
    </w:p>
    <w:p w14:paraId="7458DF13">
      <w:pPr>
        <w:pStyle w:val="11"/>
        <w:adjustRightInd w:val="0"/>
        <w:snapToGrid w:val="0"/>
        <w:spacing w:before="0" w:line="440" w:lineRule="exact"/>
        <w:jc w:val="left"/>
        <w:rPr>
          <w:rFonts w:hint="default" w:ascii="Times New Roman" w:hAnsi="Times New Roman" w:eastAsia="仿宋" w:cs="Times New Roman"/>
          <w:sz w:val="24"/>
          <w:lang w:val="en-US"/>
        </w:rPr>
      </w:pPr>
      <w:r>
        <w:rPr>
          <w:rFonts w:hint="eastAsia" w:ascii="Times New Roman" w:hAnsi="Times New Roman" w:cs="Times New Roman"/>
          <w:sz w:val="24"/>
          <w:szCs w:val="24"/>
          <w:lang w:val="en-US" w:eastAsia="zh-CN"/>
        </w:rPr>
        <w:t>　　</w:t>
      </w:r>
      <w:r>
        <w:rPr>
          <w:rFonts w:hint="default" w:ascii="Times New Roman" w:hAnsi="Times New Roman" w:eastAsia="仿宋" w:cs="Times New Roman"/>
          <w:sz w:val="24"/>
        </w:rPr>
        <w:t>一、</w:t>
      </w:r>
      <w:r>
        <w:rPr>
          <w:rFonts w:hint="default" w:ascii="Times New Roman" w:hAnsi="Times New Roman" w:cs="Times New Roman"/>
          <w:sz w:val="24"/>
        </w:rPr>
        <w:t>收入支出决算总表</w:t>
      </w:r>
      <w:r>
        <w:rPr>
          <w:rFonts w:hint="eastAsia" w:ascii="Times New Roman" w:hAnsi="Times New Roman" w:cs="Times New Roman"/>
          <w:sz w:val="24"/>
          <w:lang w:val="en-US" w:eastAsia="zh-CN"/>
        </w:rPr>
        <w:tab/>
      </w:r>
      <w:r>
        <w:rPr>
          <w:rFonts w:hint="eastAsia" w:ascii="Times New Roman" w:hAnsi="Times New Roman" w:cs="Times New Roman"/>
          <w:sz w:val="24"/>
          <w:lang w:val="en-US" w:eastAsia="zh-CN"/>
        </w:rPr>
        <w:t>22</w:t>
      </w:r>
    </w:p>
    <w:p w14:paraId="3F6EDC0E">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二、</w:t>
      </w:r>
      <w:r>
        <w:rPr>
          <w:rFonts w:hint="default" w:ascii="Times New Roman" w:hAnsi="Times New Roman" w:cs="Times New Roman"/>
          <w:sz w:val="24"/>
        </w:rPr>
        <w:t>收入</w:t>
      </w:r>
      <w:r>
        <w:rPr>
          <w:rFonts w:hint="default" w:ascii="Times New Roman" w:hAnsi="Times New Roman" w:eastAsia="仿宋" w:cs="Times New Roman"/>
          <w:sz w:val="24"/>
        </w:rPr>
        <w:t>决算</w:t>
      </w:r>
      <w:r>
        <w:rPr>
          <w:rFonts w:hint="default" w:ascii="Times New Roman" w:hAnsi="Times New Roman" w:cs="Times New Roman"/>
          <w:sz w:val="24"/>
        </w:rPr>
        <w:t>表</w:t>
      </w:r>
      <w:r>
        <w:rPr>
          <w:rFonts w:hint="eastAsia" w:cs="Times New Roman"/>
          <w:sz w:val="24"/>
          <w:lang w:val="en-US" w:eastAsia="zh-CN"/>
        </w:rPr>
        <w:tab/>
      </w:r>
      <w:r>
        <w:rPr>
          <w:rFonts w:hint="eastAsia" w:cs="Times New Roman"/>
          <w:sz w:val="24"/>
          <w:lang w:val="en-US" w:eastAsia="zh-CN"/>
        </w:rPr>
        <w:t>22</w:t>
      </w:r>
    </w:p>
    <w:p w14:paraId="36F8B1C2">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三、</w:t>
      </w:r>
      <w:r>
        <w:rPr>
          <w:rFonts w:hint="default" w:ascii="Times New Roman" w:hAnsi="Times New Roman" w:cs="Times New Roman"/>
          <w:sz w:val="24"/>
        </w:rPr>
        <w:t>支出</w:t>
      </w:r>
      <w:r>
        <w:rPr>
          <w:rFonts w:hint="default" w:ascii="Times New Roman" w:hAnsi="Times New Roman" w:eastAsia="仿宋" w:cs="Times New Roman"/>
          <w:sz w:val="24"/>
        </w:rPr>
        <w:t>决算</w:t>
      </w:r>
      <w:r>
        <w:rPr>
          <w:rFonts w:hint="default" w:ascii="Times New Roman" w:hAnsi="Times New Roman" w:cs="Times New Roman"/>
          <w:sz w:val="24"/>
        </w:rPr>
        <w:t>表</w:t>
      </w:r>
      <w:r>
        <w:rPr>
          <w:rFonts w:hint="eastAsia" w:cs="Times New Roman"/>
          <w:sz w:val="24"/>
          <w:lang w:val="en-US" w:eastAsia="zh-CN"/>
        </w:rPr>
        <w:tab/>
      </w:r>
      <w:r>
        <w:rPr>
          <w:rFonts w:hint="eastAsia" w:cs="Times New Roman"/>
          <w:sz w:val="24"/>
          <w:lang w:val="en-US" w:eastAsia="zh-CN"/>
        </w:rPr>
        <w:t>22</w:t>
      </w:r>
    </w:p>
    <w:p w14:paraId="5059880E">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四、</w:t>
      </w:r>
      <w:r>
        <w:rPr>
          <w:rFonts w:hint="default" w:ascii="Times New Roman" w:hAnsi="Times New Roman" w:cs="Times New Roman"/>
          <w:sz w:val="24"/>
        </w:rPr>
        <w:t>财政拨款收入支出决算总表</w:t>
      </w:r>
      <w:r>
        <w:rPr>
          <w:rFonts w:hint="eastAsia" w:cs="Times New Roman"/>
          <w:sz w:val="24"/>
          <w:lang w:val="en-US" w:eastAsia="zh-CN"/>
        </w:rPr>
        <w:tab/>
      </w:r>
      <w:r>
        <w:rPr>
          <w:rFonts w:hint="eastAsia" w:cs="Times New Roman"/>
          <w:sz w:val="24"/>
          <w:lang w:val="en-US" w:eastAsia="zh-CN"/>
        </w:rPr>
        <w:t>22</w:t>
      </w:r>
    </w:p>
    <w:p w14:paraId="2C65AAFE">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五、</w:t>
      </w:r>
      <w:r>
        <w:rPr>
          <w:rFonts w:hint="default" w:ascii="Times New Roman" w:hAnsi="Times New Roman" w:cs="Times New Roman"/>
          <w:sz w:val="24"/>
        </w:rPr>
        <w:t>财政拨款支出决算明细表</w:t>
      </w:r>
      <w:r>
        <w:rPr>
          <w:rFonts w:hint="eastAsia" w:cs="Times New Roman"/>
          <w:sz w:val="24"/>
          <w:lang w:val="en-US" w:eastAsia="zh-CN"/>
        </w:rPr>
        <w:tab/>
      </w:r>
      <w:r>
        <w:rPr>
          <w:rFonts w:hint="eastAsia" w:cs="Times New Roman"/>
          <w:sz w:val="24"/>
          <w:lang w:val="en-US" w:eastAsia="zh-CN"/>
        </w:rPr>
        <w:t>22</w:t>
      </w:r>
    </w:p>
    <w:p w14:paraId="40C9A2D4">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六、</w:t>
      </w:r>
      <w:r>
        <w:rPr>
          <w:rFonts w:hint="default" w:ascii="Times New Roman" w:hAnsi="Times New Roman" w:cs="Times New Roman"/>
          <w:sz w:val="24"/>
        </w:rPr>
        <w:t>一般公共预算财政拨款支出决算表</w:t>
      </w:r>
      <w:r>
        <w:rPr>
          <w:rFonts w:hint="eastAsia" w:cs="Times New Roman"/>
          <w:sz w:val="24"/>
          <w:lang w:val="en-US" w:eastAsia="zh-CN"/>
        </w:rPr>
        <w:tab/>
      </w:r>
      <w:r>
        <w:rPr>
          <w:rFonts w:hint="eastAsia" w:cs="Times New Roman"/>
          <w:sz w:val="24"/>
          <w:lang w:val="en-US" w:eastAsia="zh-CN"/>
        </w:rPr>
        <w:t>22</w:t>
      </w:r>
    </w:p>
    <w:p w14:paraId="2845568C">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七、</w:t>
      </w:r>
      <w:r>
        <w:rPr>
          <w:rFonts w:hint="default" w:ascii="Times New Roman" w:hAnsi="Times New Roman" w:cs="Times New Roman"/>
          <w:sz w:val="24"/>
        </w:rPr>
        <w:t>一般公共预算财政拨款支出决算明细表</w:t>
      </w:r>
      <w:r>
        <w:rPr>
          <w:rFonts w:hint="eastAsia" w:cs="Times New Roman"/>
          <w:sz w:val="24"/>
          <w:lang w:val="en-US" w:eastAsia="zh-CN"/>
        </w:rPr>
        <w:tab/>
      </w:r>
      <w:r>
        <w:rPr>
          <w:rFonts w:hint="eastAsia" w:cs="Times New Roman"/>
          <w:sz w:val="24"/>
          <w:lang w:val="en-US" w:eastAsia="zh-CN"/>
        </w:rPr>
        <w:t>22</w:t>
      </w:r>
    </w:p>
    <w:p w14:paraId="13638A82">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八、</w:t>
      </w:r>
      <w:r>
        <w:rPr>
          <w:rFonts w:hint="default" w:ascii="Times New Roman" w:hAnsi="Times New Roman" w:cs="Times New Roman"/>
          <w:sz w:val="24"/>
        </w:rPr>
        <w:t>一般公共预算财政拨款基本支出决算</w:t>
      </w:r>
      <w:r>
        <w:rPr>
          <w:rFonts w:hint="eastAsia" w:cs="Times New Roman"/>
          <w:sz w:val="24"/>
          <w:lang w:eastAsia="zh-CN"/>
        </w:rPr>
        <w:t>明细</w:t>
      </w:r>
      <w:r>
        <w:rPr>
          <w:rFonts w:hint="default" w:ascii="Times New Roman" w:hAnsi="Times New Roman" w:cs="Times New Roman"/>
          <w:sz w:val="24"/>
        </w:rPr>
        <w:t>表</w:t>
      </w:r>
      <w:r>
        <w:rPr>
          <w:rFonts w:hint="eastAsia" w:cs="Times New Roman"/>
          <w:sz w:val="24"/>
          <w:lang w:val="en-US" w:eastAsia="zh-CN"/>
        </w:rPr>
        <w:tab/>
      </w:r>
      <w:r>
        <w:rPr>
          <w:rFonts w:hint="eastAsia" w:cs="Times New Roman"/>
          <w:sz w:val="24"/>
          <w:lang w:val="en-US" w:eastAsia="zh-CN"/>
        </w:rPr>
        <w:t>22</w:t>
      </w:r>
    </w:p>
    <w:p w14:paraId="46D0945D">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九、</w:t>
      </w:r>
      <w:r>
        <w:rPr>
          <w:rFonts w:hint="default" w:ascii="Times New Roman" w:hAnsi="Times New Roman" w:cs="Times New Roman"/>
          <w:sz w:val="24"/>
        </w:rPr>
        <w:t>一般公共预算财政拨款项目支出决算表</w:t>
      </w:r>
      <w:r>
        <w:rPr>
          <w:rFonts w:hint="eastAsia" w:cs="Times New Roman"/>
          <w:sz w:val="24"/>
          <w:lang w:val="en-US" w:eastAsia="zh-CN"/>
        </w:rPr>
        <w:tab/>
      </w:r>
      <w:r>
        <w:rPr>
          <w:rFonts w:hint="eastAsia" w:cs="Times New Roman"/>
          <w:sz w:val="24"/>
          <w:lang w:val="en-US" w:eastAsia="zh-CN"/>
        </w:rPr>
        <w:t>22</w:t>
      </w:r>
    </w:p>
    <w:p w14:paraId="329839FE">
      <w:pPr>
        <w:pStyle w:val="12"/>
        <w:adjustRightInd w:val="0"/>
        <w:snapToGrid w:val="0"/>
        <w:spacing w:line="440" w:lineRule="exact"/>
        <w:jc w:val="left"/>
        <w:rPr>
          <w:rFonts w:hint="default" w:ascii="Times New Roman" w:hAnsi="Times New Roman" w:eastAsia="仿宋" w:cs="Times New Roman"/>
          <w:sz w:val="24"/>
          <w:lang w:val="en-US"/>
        </w:rPr>
      </w:pPr>
      <w:bookmarkStart w:id="12" w:name="_Toc15377196"/>
      <w:bookmarkStart w:id="13" w:name="_Toc15396599"/>
      <w:r>
        <w:rPr>
          <w:rFonts w:hint="default" w:ascii="Times New Roman" w:hAnsi="Times New Roman" w:eastAsia="仿宋" w:cs="Times New Roman"/>
          <w:sz w:val="24"/>
        </w:rPr>
        <w:t>十、</w:t>
      </w:r>
      <w:r>
        <w:rPr>
          <w:rFonts w:hint="default" w:ascii="Times New Roman" w:hAnsi="Times New Roman" w:cs="Times New Roman"/>
          <w:sz w:val="24"/>
        </w:rPr>
        <w:t>政府性基金预算财政拨款收入支出决算表</w:t>
      </w:r>
      <w:r>
        <w:rPr>
          <w:rFonts w:hint="eastAsia" w:cs="Times New Roman"/>
          <w:sz w:val="24"/>
          <w:lang w:val="en-US" w:eastAsia="zh-CN"/>
        </w:rPr>
        <w:tab/>
      </w:r>
      <w:r>
        <w:rPr>
          <w:rFonts w:hint="eastAsia" w:cs="Times New Roman"/>
          <w:sz w:val="24"/>
          <w:lang w:val="en-US" w:eastAsia="zh-CN"/>
        </w:rPr>
        <w:t>22</w:t>
      </w:r>
    </w:p>
    <w:p w14:paraId="52C8DFCE">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十</w:t>
      </w:r>
      <w:r>
        <w:rPr>
          <w:rFonts w:hint="default" w:ascii="Times New Roman" w:hAnsi="Times New Roman" w:eastAsia="仿宋" w:cs="Times New Roman"/>
          <w:sz w:val="24"/>
          <w:lang w:eastAsia="zh-CN"/>
        </w:rPr>
        <w:t>一</w:t>
      </w:r>
      <w:r>
        <w:rPr>
          <w:rFonts w:hint="default" w:ascii="Times New Roman" w:hAnsi="Times New Roman" w:eastAsia="仿宋" w:cs="Times New Roman"/>
          <w:sz w:val="24"/>
        </w:rPr>
        <w:t>、</w:t>
      </w:r>
      <w:r>
        <w:rPr>
          <w:rFonts w:hint="default" w:ascii="Times New Roman" w:hAnsi="Times New Roman" w:cs="Times New Roman"/>
          <w:sz w:val="24"/>
        </w:rPr>
        <w:t>国有资本经营预算财政拨款收入支出决算表</w:t>
      </w:r>
      <w:r>
        <w:rPr>
          <w:rFonts w:hint="eastAsia" w:cs="Times New Roman"/>
          <w:sz w:val="24"/>
          <w:lang w:val="en-US" w:eastAsia="zh-CN"/>
        </w:rPr>
        <w:tab/>
      </w:r>
      <w:r>
        <w:rPr>
          <w:rFonts w:hint="eastAsia" w:cs="Times New Roman"/>
          <w:sz w:val="24"/>
          <w:lang w:val="en-US" w:eastAsia="zh-CN"/>
        </w:rPr>
        <w:t>22</w:t>
      </w:r>
    </w:p>
    <w:p w14:paraId="0C597249">
      <w:pPr>
        <w:pStyle w:val="12"/>
        <w:adjustRightInd w:val="0"/>
        <w:snapToGrid w:val="0"/>
        <w:spacing w:line="440" w:lineRule="exact"/>
        <w:jc w:val="left"/>
        <w:rPr>
          <w:rFonts w:hint="default" w:ascii="Times New Roman" w:hAnsi="Times New Roman" w:cs="Times New Roman"/>
          <w:sz w:val="24"/>
          <w:lang w:val="en-US"/>
        </w:rPr>
      </w:pPr>
      <w:r>
        <w:rPr>
          <w:rFonts w:hint="default" w:ascii="Times New Roman" w:hAnsi="Times New Roman" w:eastAsia="仿宋" w:cs="Times New Roman"/>
          <w:sz w:val="24"/>
        </w:rPr>
        <w:t>十</w:t>
      </w:r>
      <w:r>
        <w:rPr>
          <w:rFonts w:hint="default" w:ascii="Times New Roman" w:hAnsi="Times New Roman" w:eastAsia="仿宋" w:cs="Times New Roman"/>
          <w:sz w:val="24"/>
          <w:lang w:eastAsia="zh-CN"/>
        </w:rPr>
        <w:t>二</w:t>
      </w:r>
      <w:r>
        <w:rPr>
          <w:rFonts w:hint="default" w:ascii="Times New Roman" w:hAnsi="Times New Roman" w:eastAsia="仿宋" w:cs="Times New Roman"/>
          <w:sz w:val="24"/>
        </w:rPr>
        <w:t>、</w:t>
      </w:r>
      <w:r>
        <w:rPr>
          <w:rFonts w:hint="default" w:ascii="Times New Roman" w:hAnsi="Times New Roman" w:cs="Times New Roman"/>
          <w:sz w:val="24"/>
        </w:rPr>
        <w:t>国有资本经营预算财政拨款支出决算表</w:t>
      </w:r>
      <w:r>
        <w:rPr>
          <w:rFonts w:hint="eastAsia" w:cs="Times New Roman"/>
          <w:sz w:val="24"/>
          <w:lang w:val="en-US" w:eastAsia="zh-CN"/>
        </w:rPr>
        <w:tab/>
      </w:r>
      <w:r>
        <w:rPr>
          <w:rFonts w:hint="eastAsia" w:cs="Times New Roman"/>
          <w:sz w:val="24"/>
          <w:lang w:val="en-US" w:eastAsia="zh-CN"/>
        </w:rPr>
        <w:t>22</w:t>
      </w:r>
    </w:p>
    <w:p w14:paraId="254679A4">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十</w:t>
      </w:r>
      <w:r>
        <w:rPr>
          <w:rFonts w:hint="default" w:ascii="Times New Roman" w:hAnsi="Times New Roman" w:eastAsia="仿宋" w:cs="Times New Roman"/>
          <w:sz w:val="24"/>
          <w:lang w:eastAsia="zh-CN"/>
        </w:rPr>
        <w:t>三</w:t>
      </w:r>
      <w:r>
        <w:rPr>
          <w:rFonts w:hint="default" w:ascii="Times New Roman" w:hAnsi="Times New Roman" w:eastAsia="仿宋" w:cs="Times New Roman"/>
          <w:sz w:val="24"/>
        </w:rPr>
        <w:t>、</w:t>
      </w:r>
      <w:r>
        <w:rPr>
          <w:rFonts w:hint="default" w:ascii="Times New Roman" w:hAnsi="Times New Roman" w:cs="Times New Roman"/>
          <w:sz w:val="24"/>
        </w:rPr>
        <w:t>财政拨款“三公”经费支出决算表</w:t>
      </w:r>
      <w:r>
        <w:rPr>
          <w:rFonts w:hint="eastAsia" w:cs="Times New Roman"/>
          <w:sz w:val="24"/>
          <w:lang w:val="en-US" w:eastAsia="zh-CN"/>
        </w:rPr>
        <w:tab/>
      </w:r>
      <w:r>
        <w:rPr>
          <w:rFonts w:hint="eastAsia" w:cs="Times New Roman"/>
          <w:sz w:val="24"/>
          <w:lang w:val="en-US" w:eastAsia="zh-CN"/>
        </w:rPr>
        <w:t>22</w:t>
      </w:r>
    </w:p>
    <w:p w14:paraId="61C40638">
      <w:pPr>
        <w:widowControl/>
        <w:spacing w:line="440" w:lineRule="exact"/>
        <w:jc w:val="left"/>
        <w:rPr>
          <w:rFonts w:hint="default" w:ascii="Times New Roman" w:hAnsi="Times New Roman" w:eastAsia="仿宋" w:cs="Times New Roman"/>
          <w:b/>
          <w:sz w:val="24"/>
          <w:lang w:val="en-US" w:eastAsia="zh-CN"/>
        </w:rPr>
      </w:pPr>
      <w:r>
        <w:rPr>
          <w:rFonts w:hint="default" w:ascii="Times New Roman" w:hAnsi="Times New Roman" w:eastAsia="仿宋" w:cs="Times New Roman"/>
          <w:b/>
          <w:sz w:val="24"/>
        </w:rPr>
        <w:br w:type="page"/>
      </w:r>
    </w:p>
    <w:p w14:paraId="6D31C507">
      <w:pPr>
        <w:pStyle w:val="2"/>
        <w:jc w:val="center"/>
        <w:rPr>
          <w:rStyle w:val="31"/>
          <w:rFonts w:hint="default" w:ascii="Times New Roman" w:hAnsi="Times New Roman" w:eastAsia="黑体" w:cs="Times New Roman"/>
          <w:b/>
          <w:bCs w:val="0"/>
        </w:rPr>
      </w:pPr>
      <w:r>
        <w:rPr>
          <w:rFonts w:hint="default" w:ascii="Times New Roman" w:hAnsi="Times New Roman" w:eastAsia="黑体" w:cs="Times New Roman"/>
          <w:b w:val="0"/>
        </w:rPr>
        <w:t xml:space="preserve">第一部分 </w:t>
      </w:r>
      <w:r>
        <w:rPr>
          <w:rStyle w:val="31"/>
          <w:rFonts w:hint="default" w:ascii="Times New Roman" w:hAnsi="Times New Roman" w:eastAsia="黑体" w:cs="Times New Roman"/>
          <w:b w:val="0"/>
          <w:bCs w:val="0"/>
          <w:lang w:eastAsia="zh-CN"/>
        </w:rPr>
        <w:t>单位</w:t>
      </w:r>
      <w:r>
        <w:rPr>
          <w:rStyle w:val="31"/>
          <w:rFonts w:hint="default" w:ascii="Times New Roman" w:hAnsi="Times New Roman" w:eastAsia="黑体" w:cs="Times New Roman"/>
          <w:b w:val="0"/>
          <w:bCs w:val="0"/>
        </w:rPr>
        <w:t>概况</w:t>
      </w:r>
      <w:bookmarkEnd w:id="12"/>
      <w:bookmarkEnd w:id="13"/>
    </w:p>
    <w:p w14:paraId="4ABB49DD">
      <w:pPr>
        <w:widowControl/>
        <w:jc w:val="left"/>
        <w:rPr>
          <w:rFonts w:hint="default" w:ascii="Times New Roman" w:hAnsi="Times New Roman" w:eastAsia="黑体" w:cs="Times New Roman"/>
          <w:color w:val="000000"/>
          <w:sz w:val="32"/>
          <w:szCs w:val="32"/>
        </w:rPr>
      </w:pPr>
    </w:p>
    <w:p w14:paraId="533FC7E9">
      <w:pPr>
        <w:pStyle w:val="3"/>
        <w:rPr>
          <w:rStyle w:val="32"/>
          <w:rFonts w:hint="default" w:ascii="Times New Roman" w:hAnsi="Times New Roman" w:eastAsia="仿宋" w:cs="Times New Roman"/>
          <w:b w:val="0"/>
          <w:bCs w:val="0"/>
        </w:rPr>
      </w:pPr>
      <w:bookmarkStart w:id="14" w:name="_Toc15396600"/>
      <w:bookmarkStart w:id="15" w:name="_Toc15377197"/>
      <w:bookmarkStart w:id="16" w:name="_Toc15377204"/>
      <w:bookmarkStart w:id="17" w:name="_Toc15396602"/>
      <w:r>
        <w:rPr>
          <w:rFonts w:hint="default" w:ascii="Times New Roman" w:hAnsi="Times New Roman" w:eastAsia="黑体" w:cs="Times New Roman"/>
          <w:b w:val="0"/>
          <w:color w:val="000000"/>
        </w:rPr>
        <w:t>一、基</w:t>
      </w:r>
      <w:r>
        <w:rPr>
          <w:rStyle w:val="32"/>
          <w:rFonts w:hint="default" w:ascii="Times New Roman" w:hAnsi="Times New Roman" w:eastAsia="黑体" w:cs="Times New Roman"/>
          <w:b w:val="0"/>
          <w:bCs w:val="0"/>
        </w:rPr>
        <w:t>本职能及主要工作</w:t>
      </w:r>
      <w:bookmarkEnd w:id="14"/>
      <w:bookmarkEnd w:id="15"/>
    </w:p>
    <w:p w14:paraId="38993C54">
      <w:pPr>
        <w:pStyle w:val="5"/>
        <w:adjustRightInd w:val="0"/>
        <w:snapToGrid w:val="0"/>
        <w:spacing w:before="93" w:line="600" w:lineRule="exact"/>
        <w:ind w:firstLine="672" w:firstLineChars="210"/>
        <w:outlineLvl w:val="2"/>
        <w:rPr>
          <w:rFonts w:hint="default" w:ascii="Times New Roman" w:hAnsi="Times New Roman" w:eastAsia="仿宋" w:cs="Times New Roman"/>
          <w:bCs/>
          <w:color w:val="000000"/>
          <w:sz w:val="32"/>
          <w:szCs w:val="32"/>
        </w:rPr>
      </w:pPr>
      <w:bookmarkStart w:id="18" w:name="_Toc15378445"/>
      <w:bookmarkStart w:id="19" w:name="_Toc15377198"/>
      <w:r>
        <w:rPr>
          <w:rFonts w:hint="default" w:ascii="Times New Roman" w:hAnsi="Times New Roman" w:eastAsia="仿宋" w:cs="Times New Roman"/>
          <w:bCs/>
          <w:color w:val="000000"/>
          <w:sz w:val="32"/>
          <w:szCs w:val="32"/>
        </w:rPr>
        <w:t>（一）主要职能。</w:t>
      </w:r>
      <w:bookmarkEnd w:id="18"/>
      <w:bookmarkEnd w:id="19"/>
    </w:p>
    <w:p w14:paraId="60053884">
      <w:pPr>
        <w:spacing w:line="600" w:lineRule="exact"/>
        <w:ind w:firstLine="640" w:firstLineChars="200"/>
        <w:outlineLvl w:val="1"/>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w:t>
      </w:r>
      <w:r>
        <w:rPr>
          <w:rFonts w:hint="eastAsia" w:ascii="Times New Roman" w:hAnsi="Times New Roman" w:eastAsia="仿宋" w:cs="Times New Roman"/>
          <w:color w:val="000000"/>
          <w:sz w:val="32"/>
          <w:szCs w:val="32"/>
        </w:rPr>
        <w:t>.负责宣传、贯彻、执行国家、省、市土地房屋征收的法律、法规、方针、政策；</w:t>
      </w:r>
    </w:p>
    <w:p w14:paraId="3E7B187A">
      <w:pPr>
        <w:spacing w:line="600" w:lineRule="exact"/>
        <w:ind w:firstLine="640" w:firstLineChars="200"/>
        <w:outlineLvl w:val="1"/>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w:t>
      </w:r>
      <w:r>
        <w:rPr>
          <w:rFonts w:hint="eastAsia" w:ascii="Times New Roman" w:hAnsi="Times New Roman" w:eastAsia="仿宋" w:cs="Times New Roman"/>
          <w:color w:val="000000"/>
          <w:sz w:val="32"/>
          <w:szCs w:val="32"/>
        </w:rPr>
        <w:t>.依据全县国民经济和社会发展规划、土地利用总体规划、城乡规划和专项规划，负责编制全县集体土地和国有土地上房屋征收计划；</w:t>
      </w:r>
    </w:p>
    <w:p w14:paraId="2E6C7904">
      <w:pPr>
        <w:spacing w:line="600" w:lineRule="exact"/>
        <w:ind w:firstLine="640" w:firstLineChars="200"/>
        <w:outlineLvl w:val="1"/>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3</w:t>
      </w:r>
      <w:r>
        <w:rPr>
          <w:rFonts w:hint="eastAsia" w:ascii="Times New Roman" w:hAnsi="Times New Roman" w:eastAsia="仿宋" w:cs="Times New Roman"/>
          <w:color w:val="000000"/>
          <w:sz w:val="32"/>
          <w:szCs w:val="32"/>
        </w:rPr>
        <w:t>.负责全县集体土地和国有土地上房屋征收、拆迁、补偿、安置政策的制定和方案的拟订、报批工作；</w:t>
      </w:r>
    </w:p>
    <w:p w14:paraId="66F77876">
      <w:pPr>
        <w:spacing w:line="600" w:lineRule="exact"/>
        <w:ind w:firstLine="640" w:firstLineChars="200"/>
        <w:outlineLvl w:val="1"/>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4</w:t>
      </w:r>
      <w:r>
        <w:rPr>
          <w:rFonts w:hint="eastAsia" w:ascii="Times New Roman" w:hAnsi="Times New Roman" w:eastAsia="仿宋" w:cs="Times New Roman"/>
          <w:color w:val="000000"/>
          <w:sz w:val="32"/>
          <w:szCs w:val="32"/>
        </w:rPr>
        <w:t>.负责组织实施县人民政府批准的征收、拆迁、补偿方案，并指导、协调和监督相关乡镇或部门实施已批准的方案，参与补偿协议的签订；</w:t>
      </w:r>
    </w:p>
    <w:p w14:paraId="4F8FD330">
      <w:pPr>
        <w:spacing w:line="600" w:lineRule="exact"/>
        <w:ind w:firstLine="640" w:firstLineChars="200"/>
        <w:outlineLvl w:val="1"/>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5</w:t>
      </w:r>
      <w:r>
        <w:rPr>
          <w:rFonts w:hint="eastAsia" w:ascii="Times New Roman" w:hAnsi="Times New Roman" w:eastAsia="仿宋" w:cs="Times New Roman"/>
          <w:color w:val="000000"/>
          <w:sz w:val="32"/>
          <w:szCs w:val="32"/>
        </w:rPr>
        <w:t>.负责做好被征收对象的安置工作；</w:t>
      </w:r>
    </w:p>
    <w:p w14:paraId="1A6DAAD2">
      <w:pPr>
        <w:spacing w:line="600" w:lineRule="exact"/>
        <w:ind w:firstLine="640" w:firstLineChars="200"/>
        <w:outlineLvl w:val="1"/>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6</w:t>
      </w:r>
      <w:r>
        <w:rPr>
          <w:rFonts w:hint="eastAsia" w:ascii="Times New Roman" w:hAnsi="Times New Roman" w:eastAsia="仿宋" w:cs="Times New Roman"/>
          <w:color w:val="000000"/>
          <w:sz w:val="32"/>
          <w:szCs w:val="32"/>
        </w:rPr>
        <w:t>.负责编制全县土地房屋征收资金需求计划，做好全县土地房屋征收的费用审核、报批和资金拨付工作；</w:t>
      </w:r>
    </w:p>
    <w:p w14:paraId="7FCF4185">
      <w:pPr>
        <w:spacing w:line="600" w:lineRule="exact"/>
        <w:ind w:firstLine="640" w:firstLineChars="200"/>
        <w:outlineLvl w:val="1"/>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7</w:t>
      </w:r>
      <w:r>
        <w:rPr>
          <w:rFonts w:hint="eastAsia" w:ascii="Times New Roman" w:hAnsi="Times New Roman" w:eastAsia="仿宋" w:cs="Times New Roman"/>
          <w:color w:val="000000"/>
          <w:sz w:val="32"/>
          <w:szCs w:val="32"/>
        </w:rPr>
        <w:t>.负责统计、分析、上报全县土地房屋征收情况；</w:t>
      </w:r>
    </w:p>
    <w:p w14:paraId="7E1508E0">
      <w:pPr>
        <w:spacing w:line="600" w:lineRule="exact"/>
        <w:ind w:firstLine="640" w:firstLineChars="200"/>
        <w:outlineLvl w:val="1"/>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8</w:t>
      </w:r>
      <w:r>
        <w:rPr>
          <w:rFonts w:hint="eastAsia" w:ascii="Times New Roman" w:hAnsi="Times New Roman" w:eastAsia="仿宋" w:cs="Times New Roman"/>
          <w:color w:val="000000"/>
          <w:sz w:val="32"/>
          <w:szCs w:val="32"/>
        </w:rPr>
        <w:t>.负责涉及全县房屋征收、拆迁、补偿、安置信访事件的调查处理工作；编制土地、房屋征收应急预案；</w:t>
      </w:r>
    </w:p>
    <w:p w14:paraId="194E4C92">
      <w:pPr>
        <w:spacing w:line="600" w:lineRule="exact"/>
        <w:ind w:firstLine="640" w:firstLineChars="200"/>
        <w:outlineLvl w:val="1"/>
        <w:rPr>
          <w:rFonts w:hint="default" w:ascii="Times New Roman" w:hAnsi="Times New Roman" w:eastAsia="仿宋" w:cs="Times New Roman"/>
          <w:bCs/>
          <w:color w:val="000000"/>
          <w:sz w:val="32"/>
          <w:szCs w:val="32"/>
        </w:rPr>
      </w:pPr>
      <w:r>
        <w:rPr>
          <w:rFonts w:hint="default" w:ascii="Times New Roman" w:hAnsi="Times New Roman" w:eastAsia="仿宋" w:cs="Times New Roman"/>
          <w:color w:val="000000"/>
          <w:sz w:val="32"/>
          <w:szCs w:val="32"/>
        </w:rPr>
        <w:t>9</w:t>
      </w:r>
      <w:r>
        <w:rPr>
          <w:rFonts w:hint="eastAsia" w:ascii="Times New Roman" w:hAnsi="Times New Roman" w:eastAsia="仿宋" w:cs="Times New Roman"/>
          <w:color w:val="000000"/>
          <w:sz w:val="32"/>
          <w:szCs w:val="32"/>
        </w:rPr>
        <w:t>.承办县委、县政府交办的其它工作。</w:t>
      </w:r>
    </w:p>
    <w:p w14:paraId="16E3229F">
      <w:pPr>
        <w:pStyle w:val="5"/>
        <w:adjustRightInd w:val="0"/>
        <w:snapToGrid w:val="0"/>
        <w:spacing w:before="93" w:line="600" w:lineRule="exact"/>
        <w:ind w:firstLine="672" w:firstLineChars="210"/>
        <w:outlineLvl w:val="2"/>
        <w:rPr>
          <w:rFonts w:hint="default" w:ascii="Times New Roman" w:hAnsi="Times New Roman" w:eastAsia="仿宋" w:cs="Times New Roman"/>
          <w:bCs/>
          <w:color w:val="000000"/>
          <w:sz w:val="32"/>
          <w:szCs w:val="32"/>
        </w:rPr>
      </w:pPr>
      <w:bookmarkStart w:id="20" w:name="_Toc15377199"/>
      <w:bookmarkStart w:id="21" w:name="_Toc15378446"/>
      <w:r>
        <w:rPr>
          <w:rFonts w:hint="default" w:ascii="Times New Roman" w:hAnsi="Times New Roman" w:eastAsia="仿宋" w:cs="Times New Roman"/>
          <w:bCs/>
          <w:color w:val="000000"/>
          <w:sz w:val="32"/>
          <w:szCs w:val="32"/>
        </w:rPr>
        <w:t>（二）202</w:t>
      </w:r>
      <w:r>
        <w:rPr>
          <w:rFonts w:hint="default" w:ascii="Times New Roman" w:hAnsi="Times New Roman" w:eastAsia="仿宋" w:cs="Times New Roman"/>
          <w:bCs/>
          <w:color w:val="000000"/>
          <w:sz w:val="32"/>
          <w:szCs w:val="32"/>
          <w:lang w:val="en-US" w:eastAsia="zh-CN"/>
        </w:rPr>
        <w:t>2</w:t>
      </w:r>
      <w:r>
        <w:rPr>
          <w:rFonts w:hint="default" w:ascii="Times New Roman" w:hAnsi="Times New Roman" w:eastAsia="仿宋" w:cs="Times New Roman"/>
          <w:bCs/>
          <w:color w:val="000000"/>
          <w:sz w:val="32"/>
          <w:szCs w:val="32"/>
        </w:rPr>
        <w:t>年重点工作完成情况。</w:t>
      </w:r>
      <w:bookmarkEnd w:id="20"/>
      <w:bookmarkEnd w:id="21"/>
    </w:p>
    <w:p w14:paraId="133A101E">
      <w:pPr>
        <w:pStyle w:val="5"/>
        <w:adjustRightInd w:val="0"/>
        <w:snapToGrid w:val="0"/>
        <w:spacing w:before="93" w:line="600" w:lineRule="exact"/>
        <w:ind w:firstLine="672" w:firstLineChars="210"/>
        <w:outlineLvl w:val="2"/>
        <w:rPr>
          <w:rFonts w:hint="default" w:ascii="Times New Roman" w:hAnsi="Times New Roman" w:eastAsia="仿宋" w:cs="Times New Roman"/>
          <w:bCs/>
          <w:color w:val="000000"/>
          <w:sz w:val="32"/>
          <w:szCs w:val="32"/>
          <w:lang w:val="en-US" w:eastAsia="zh-CN"/>
        </w:rPr>
      </w:pPr>
      <w:r>
        <w:rPr>
          <w:rFonts w:hint="eastAsia" w:ascii="Times New Roman" w:hAnsi="Times New Roman" w:eastAsia="仿宋" w:cs="Times New Roman"/>
          <w:bCs/>
          <w:color w:val="000000"/>
          <w:sz w:val="32"/>
          <w:szCs w:val="32"/>
          <w:lang w:val="en-US" w:eastAsia="zh-CN"/>
        </w:rPr>
        <w:t>一是</w:t>
      </w:r>
      <w:r>
        <w:rPr>
          <w:rFonts w:hint="default" w:ascii="Times New Roman" w:hAnsi="Times New Roman" w:eastAsia="仿宋" w:cs="Times New Roman"/>
          <w:bCs/>
          <w:color w:val="000000"/>
          <w:sz w:val="32"/>
          <w:szCs w:val="32"/>
          <w:lang w:val="en-US" w:eastAsia="zh-CN"/>
        </w:rPr>
        <w:t>发布2021年第1、3批次建设用地及G350线征收土地公告；发布2022年第1、2、4、5、6批次建设用地、亭子口灌区一期工程建设用地</w:t>
      </w:r>
      <w:r>
        <w:rPr>
          <w:rFonts w:hint="eastAsia" w:ascii="Times New Roman" w:hAnsi="Times New Roman" w:eastAsia="仿宋" w:cs="Times New Roman"/>
          <w:bCs/>
          <w:color w:val="000000"/>
          <w:sz w:val="32"/>
          <w:szCs w:val="32"/>
          <w:lang w:val="en-US" w:eastAsia="zh-CN"/>
        </w:rPr>
        <w:t>、S203线升级改造工程建设用地</w:t>
      </w:r>
      <w:r>
        <w:rPr>
          <w:rFonts w:hint="default" w:ascii="Times New Roman" w:hAnsi="Times New Roman" w:eastAsia="仿宋" w:cs="Times New Roman"/>
          <w:bCs/>
          <w:color w:val="000000"/>
          <w:sz w:val="32"/>
          <w:szCs w:val="32"/>
          <w:lang w:val="en-US" w:eastAsia="zh-CN"/>
        </w:rPr>
        <w:t>及双大路村1、2组</w:t>
      </w:r>
      <w:r>
        <w:rPr>
          <w:rFonts w:hint="eastAsia" w:ascii="Times New Roman" w:hAnsi="Times New Roman" w:eastAsia="仿宋" w:cs="Times New Roman"/>
          <w:bCs/>
          <w:color w:val="000000"/>
          <w:sz w:val="32"/>
          <w:szCs w:val="32"/>
          <w:lang w:val="en-US" w:eastAsia="zh-CN"/>
        </w:rPr>
        <w:t>、棱角桥村1、2、9组</w:t>
      </w:r>
      <w:r>
        <w:rPr>
          <w:rFonts w:hint="default" w:ascii="Times New Roman" w:hAnsi="Times New Roman" w:eastAsia="仿宋" w:cs="Times New Roman"/>
          <w:bCs/>
          <w:color w:val="000000"/>
          <w:sz w:val="32"/>
          <w:szCs w:val="32"/>
          <w:lang w:val="en-US" w:eastAsia="zh-CN"/>
        </w:rPr>
        <w:t>征地补偿安置方案公告；签订2022年第1、2、4、5、6批次建设用地</w:t>
      </w:r>
      <w:r>
        <w:rPr>
          <w:rFonts w:hint="eastAsia" w:ascii="Times New Roman" w:hAnsi="Times New Roman" w:eastAsia="仿宋" w:cs="Times New Roman"/>
          <w:bCs/>
          <w:color w:val="000000"/>
          <w:sz w:val="32"/>
          <w:szCs w:val="32"/>
          <w:lang w:val="en-US" w:eastAsia="zh-CN"/>
        </w:rPr>
        <w:t>、S203线升级改造工程建设用地</w:t>
      </w:r>
      <w:r>
        <w:rPr>
          <w:rFonts w:hint="default" w:ascii="Times New Roman" w:hAnsi="Times New Roman" w:eastAsia="仿宋" w:cs="Times New Roman"/>
          <w:bCs/>
          <w:color w:val="000000"/>
          <w:sz w:val="32"/>
          <w:szCs w:val="32"/>
          <w:lang w:val="en-US" w:eastAsia="zh-CN"/>
        </w:rPr>
        <w:t>预征地板厂安置协议；对双大路2组幅员面积及征地面积进行复核。对G350线</w:t>
      </w:r>
      <w:r>
        <w:rPr>
          <w:rFonts w:hint="eastAsia" w:ascii="Times New Roman" w:hAnsi="Times New Roman" w:eastAsia="仿宋" w:cs="Times New Roman"/>
          <w:bCs/>
          <w:color w:val="000000"/>
          <w:sz w:val="32"/>
          <w:szCs w:val="32"/>
          <w:lang w:val="en-US" w:eastAsia="zh-CN"/>
        </w:rPr>
        <w:t>、S203线</w:t>
      </w:r>
      <w:r>
        <w:rPr>
          <w:rFonts w:hint="default" w:ascii="Times New Roman" w:hAnsi="Times New Roman" w:eastAsia="仿宋" w:cs="Times New Roman"/>
          <w:bCs/>
          <w:color w:val="000000"/>
          <w:sz w:val="32"/>
          <w:szCs w:val="32"/>
          <w:lang w:val="en-US" w:eastAsia="zh-CN"/>
        </w:rPr>
        <w:t>涉及村组幅员面积及征地面积进行复核；启动</w:t>
      </w:r>
      <w:r>
        <w:rPr>
          <w:rFonts w:hint="eastAsia" w:ascii="Times New Roman" w:eastAsia="仿宋" w:cs="Times New Roman"/>
          <w:bCs/>
          <w:color w:val="000000"/>
          <w:sz w:val="32"/>
          <w:szCs w:val="32"/>
          <w:lang w:val="en-US" w:eastAsia="zh-CN"/>
        </w:rPr>
        <w:t>方舱</w:t>
      </w:r>
      <w:bookmarkStart w:id="70" w:name="_GoBack"/>
      <w:bookmarkEnd w:id="70"/>
      <w:r>
        <w:rPr>
          <w:rFonts w:hint="default" w:ascii="Times New Roman" w:hAnsi="Times New Roman" w:eastAsia="仿宋" w:cs="Times New Roman"/>
          <w:bCs/>
          <w:color w:val="000000"/>
          <w:sz w:val="32"/>
          <w:szCs w:val="32"/>
          <w:lang w:val="en-US" w:eastAsia="zh-CN"/>
        </w:rPr>
        <w:t>医院用地、银城大道延伸段、凤山西路、站前大道</w:t>
      </w:r>
      <w:r>
        <w:rPr>
          <w:rFonts w:hint="eastAsia" w:ascii="Times New Roman" w:hAnsi="Times New Roman" w:eastAsia="仿宋" w:cs="Times New Roman"/>
          <w:bCs/>
          <w:color w:val="000000"/>
          <w:sz w:val="32"/>
          <w:szCs w:val="32"/>
          <w:lang w:val="en-US" w:eastAsia="zh-CN"/>
        </w:rPr>
        <w:t>、龙湖学校、县医院</w:t>
      </w:r>
      <w:r>
        <w:rPr>
          <w:rFonts w:hint="default" w:ascii="Times New Roman" w:hAnsi="Times New Roman" w:eastAsia="仿宋" w:cs="Times New Roman"/>
          <w:bCs/>
          <w:color w:val="000000"/>
          <w:sz w:val="32"/>
          <w:szCs w:val="32"/>
          <w:lang w:val="en-US" w:eastAsia="zh-CN"/>
        </w:rPr>
        <w:t xml:space="preserve">用地征地拆迁工作；办理养老保险327人，失业保险22人，医疗保险68人，兑付征地补偿费用及社保费用约9000万元。        </w:t>
      </w:r>
      <w:r>
        <w:rPr>
          <w:rFonts w:hint="eastAsia" w:ascii="Times New Roman" w:hAnsi="Times New Roman" w:eastAsia="仿宋" w:cs="Times New Roman"/>
          <w:bCs/>
          <w:color w:val="000000"/>
          <w:sz w:val="32"/>
          <w:szCs w:val="32"/>
          <w:lang w:val="en-US" w:eastAsia="zh-CN"/>
        </w:rPr>
        <w:t>二是按照市局及县纪委要求</w:t>
      </w:r>
      <w:r>
        <w:rPr>
          <w:rFonts w:hint="default" w:ascii="Times New Roman" w:hAnsi="Times New Roman" w:eastAsia="仿宋" w:cs="Times New Roman"/>
          <w:bCs/>
          <w:color w:val="000000"/>
          <w:sz w:val="32"/>
          <w:szCs w:val="32"/>
          <w:lang w:val="en-US" w:eastAsia="zh-CN"/>
        </w:rPr>
        <w:t>征地拆迁领域专项治理</w:t>
      </w:r>
      <w:r>
        <w:rPr>
          <w:rFonts w:hint="eastAsia" w:ascii="Times New Roman" w:hAnsi="Times New Roman" w:eastAsia="仿宋" w:cs="Times New Roman"/>
          <w:bCs/>
          <w:color w:val="000000"/>
          <w:sz w:val="32"/>
          <w:szCs w:val="32"/>
          <w:lang w:val="en-US" w:eastAsia="zh-CN"/>
        </w:rPr>
        <w:t>继续开展回头看工作</w:t>
      </w:r>
      <w:r>
        <w:rPr>
          <w:rFonts w:hint="default" w:ascii="Times New Roman" w:hAnsi="Times New Roman" w:eastAsia="仿宋" w:cs="Times New Roman"/>
          <w:bCs/>
          <w:color w:val="000000"/>
          <w:sz w:val="32"/>
          <w:szCs w:val="32"/>
          <w:lang w:val="en-US" w:eastAsia="zh-CN"/>
        </w:rPr>
        <w:t>。</w:t>
      </w:r>
      <w:r>
        <w:rPr>
          <w:rFonts w:hint="eastAsia" w:ascii="Times New Roman" w:hAnsi="Times New Roman" w:eastAsia="仿宋" w:cs="Times New Roman"/>
          <w:bCs/>
          <w:color w:val="000000"/>
          <w:sz w:val="32"/>
          <w:szCs w:val="32"/>
          <w:lang w:val="en-US" w:eastAsia="zh-CN"/>
        </w:rPr>
        <w:t>三是</w:t>
      </w:r>
      <w:r>
        <w:rPr>
          <w:rFonts w:hint="default" w:ascii="Times New Roman" w:hAnsi="Times New Roman" w:eastAsia="仿宋" w:cs="Times New Roman"/>
          <w:bCs/>
          <w:color w:val="000000"/>
          <w:sz w:val="32"/>
          <w:szCs w:val="32"/>
          <w:lang w:val="en-US" w:eastAsia="zh-CN"/>
        </w:rPr>
        <w:t>启动征地区片综合地价修订工作，已将初步成果报省自然资源厅审核。</w:t>
      </w:r>
      <w:r>
        <w:rPr>
          <w:rFonts w:hint="eastAsia" w:ascii="Times New Roman" w:hAnsi="Times New Roman" w:eastAsia="仿宋" w:cs="Times New Roman"/>
          <w:bCs/>
          <w:color w:val="000000"/>
          <w:sz w:val="32"/>
          <w:szCs w:val="32"/>
          <w:lang w:val="en-US" w:eastAsia="zh-CN"/>
        </w:rPr>
        <w:t>四是</w:t>
      </w:r>
      <w:r>
        <w:rPr>
          <w:rFonts w:hint="default" w:ascii="Times New Roman" w:hAnsi="Times New Roman" w:eastAsia="仿宋" w:cs="Times New Roman"/>
          <w:bCs/>
          <w:color w:val="000000"/>
          <w:sz w:val="32"/>
          <w:szCs w:val="32"/>
          <w:lang w:val="en-US" w:eastAsia="zh-CN"/>
        </w:rPr>
        <w:t>根据领导安排对机场及西渝高铁征地拆迁费用测算。</w:t>
      </w:r>
      <w:r>
        <w:rPr>
          <w:rFonts w:hint="eastAsia" w:ascii="Times New Roman" w:hAnsi="Times New Roman" w:eastAsia="仿宋" w:cs="Times New Roman"/>
          <w:bCs/>
          <w:color w:val="000000"/>
          <w:sz w:val="32"/>
          <w:szCs w:val="32"/>
          <w:lang w:val="en-US" w:eastAsia="zh-CN"/>
        </w:rPr>
        <w:t>五是</w:t>
      </w:r>
      <w:r>
        <w:rPr>
          <w:rFonts w:hint="default" w:ascii="Times New Roman" w:hAnsi="Times New Roman" w:eastAsia="仿宋" w:cs="Times New Roman"/>
          <w:bCs/>
          <w:color w:val="000000"/>
          <w:sz w:val="32"/>
          <w:szCs w:val="32"/>
          <w:lang w:val="en-US" w:eastAsia="zh-CN"/>
        </w:rPr>
        <w:t>接待群众来访，对征地政策进行宣传解释。</w:t>
      </w:r>
    </w:p>
    <w:p w14:paraId="2867A3D0">
      <w:pPr>
        <w:pStyle w:val="3"/>
        <w:rPr>
          <w:rStyle w:val="32"/>
          <w:rFonts w:hint="default" w:ascii="Times New Roman" w:hAnsi="Times New Roman" w:cs="Times New Roman"/>
          <w:b w:val="0"/>
          <w:bCs w:val="0"/>
          <w:highlight w:val="none"/>
        </w:rPr>
      </w:pPr>
      <w:bookmarkStart w:id="22" w:name="_Toc15377200"/>
      <w:bookmarkStart w:id="23" w:name="_Toc15396601"/>
      <w:r>
        <w:rPr>
          <w:rFonts w:hint="default" w:ascii="Times New Roman" w:hAnsi="Times New Roman" w:eastAsia="黑体" w:cs="Times New Roman"/>
          <w:b w:val="0"/>
          <w:color w:val="000000"/>
          <w:highlight w:val="none"/>
        </w:rPr>
        <w:t>二、机</w:t>
      </w:r>
      <w:r>
        <w:rPr>
          <w:rStyle w:val="32"/>
          <w:rFonts w:hint="default" w:ascii="Times New Roman" w:hAnsi="Times New Roman" w:eastAsia="黑体" w:cs="Times New Roman"/>
          <w:b w:val="0"/>
          <w:bCs w:val="0"/>
          <w:highlight w:val="none"/>
        </w:rPr>
        <w:t>构设置</w:t>
      </w:r>
      <w:bookmarkEnd w:id="22"/>
      <w:bookmarkEnd w:id="23"/>
    </w:p>
    <w:p w14:paraId="46BD8979">
      <w:pPr>
        <w:pStyle w:val="5"/>
        <w:adjustRightInd w:val="0"/>
        <w:snapToGrid w:val="0"/>
        <w:spacing w:before="93" w:line="600" w:lineRule="exact"/>
        <w:ind w:firstLine="675" w:firstLineChars="210"/>
        <w:outlineLvl w:val="2"/>
        <w:rPr>
          <w:rFonts w:hint="default" w:ascii="Times New Roman" w:hAnsi="Times New Roman" w:eastAsia="仿宋" w:cs="Times New Roman"/>
          <w:bCs/>
          <w:color w:val="000000"/>
          <w:sz w:val="32"/>
          <w:szCs w:val="32"/>
          <w:lang w:val="en-US" w:eastAsia="zh-CN"/>
        </w:rPr>
      </w:pPr>
      <w:r>
        <w:rPr>
          <w:rFonts w:hint="eastAsia" w:ascii="方正仿宋_GBK" w:hAnsi="宋体" w:eastAsia="方正仿宋_GBK" w:cs="仿宋_GB2312"/>
          <w:b/>
          <w:bCs/>
          <w:sz w:val="32"/>
          <w:szCs w:val="32"/>
        </w:rPr>
        <w:t xml:space="preserve"> </w:t>
      </w:r>
      <w:r>
        <w:rPr>
          <w:rFonts w:hint="eastAsia" w:ascii="方正仿宋_GBK" w:hAnsi="宋体" w:eastAsia="方正仿宋_GBK" w:cs="仿宋_GB2312"/>
          <w:sz w:val="32"/>
          <w:szCs w:val="32"/>
          <w:lang w:eastAsia="zh-CN"/>
        </w:rPr>
        <w:t>截至</w:t>
      </w:r>
      <w:r>
        <w:rPr>
          <w:rFonts w:ascii="Times New Roman" w:hAnsi="Times New Roman" w:eastAsia="方正仿宋_GBK" w:cs="Times New Roman"/>
          <w:sz w:val="32"/>
          <w:szCs w:val="32"/>
        </w:rPr>
        <w:t>2022</w:t>
      </w:r>
      <w:r>
        <w:rPr>
          <w:rFonts w:hint="eastAsia" w:ascii="方正仿宋_GBK" w:hAnsi="宋体" w:eastAsia="方正仿宋_GBK" w:cs="仿宋_GB2312"/>
          <w:sz w:val="32"/>
          <w:szCs w:val="32"/>
        </w:rPr>
        <w:t>年</w:t>
      </w:r>
      <w:r>
        <w:rPr>
          <w:rFonts w:ascii="Times New Roman" w:hAnsi="Times New Roman" w:eastAsia="方正仿宋_GBK" w:cs="Times New Roman"/>
          <w:sz w:val="32"/>
          <w:szCs w:val="32"/>
        </w:rPr>
        <w:t>12</w:t>
      </w:r>
      <w:r>
        <w:rPr>
          <w:rFonts w:hint="eastAsia" w:ascii="方正仿宋_GBK" w:hAnsi="宋体" w:eastAsia="方正仿宋_GBK" w:cs="仿宋_GB2312"/>
          <w:sz w:val="32"/>
          <w:szCs w:val="32"/>
        </w:rPr>
        <w:t>月</w:t>
      </w:r>
      <w:r>
        <w:rPr>
          <w:rFonts w:ascii="Times New Roman" w:hAnsi="Times New Roman" w:eastAsia="方正仿宋_GBK" w:cs="Times New Roman"/>
          <w:sz w:val="32"/>
          <w:szCs w:val="32"/>
        </w:rPr>
        <w:t>31</w:t>
      </w:r>
      <w:r>
        <w:rPr>
          <w:rFonts w:hint="eastAsia" w:ascii="方正仿宋_GBK" w:hAnsi="宋体" w:eastAsia="方正仿宋_GBK" w:cs="仿宋_GB2312"/>
          <w:sz w:val="32"/>
          <w:szCs w:val="32"/>
        </w:rPr>
        <w:t>日，</w:t>
      </w:r>
      <w:r>
        <w:rPr>
          <w:rFonts w:hint="eastAsia" w:ascii="Times New Roman" w:hAnsi="Times New Roman" w:eastAsia="仿宋" w:cs="Times New Roman"/>
          <w:bCs/>
          <w:color w:val="000000"/>
          <w:sz w:val="32"/>
          <w:szCs w:val="32"/>
          <w:lang w:val="en-US" w:eastAsia="zh-CN"/>
        </w:rPr>
        <w:t>岳池县土地统征整理事务中心</w:t>
      </w:r>
      <w:r>
        <w:rPr>
          <w:rFonts w:hint="default" w:ascii="Times New Roman" w:hAnsi="Times New Roman" w:eastAsia="仿宋" w:cs="Times New Roman"/>
          <w:bCs/>
          <w:color w:val="000000"/>
          <w:sz w:val="32"/>
          <w:szCs w:val="32"/>
          <w:lang w:val="en-US" w:eastAsia="zh-CN"/>
        </w:rPr>
        <w:t>共有在职人员</w:t>
      </w:r>
      <w:r>
        <w:rPr>
          <w:rFonts w:hint="eastAsia" w:ascii="Times New Roman" w:eastAsia="仿宋" w:cs="Times New Roman"/>
          <w:bCs/>
          <w:color w:val="000000"/>
          <w:sz w:val="32"/>
          <w:szCs w:val="32"/>
          <w:lang w:val="en-US" w:eastAsia="zh-CN"/>
        </w:rPr>
        <w:t>14人</w:t>
      </w:r>
      <w:r>
        <w:rPr>
          <w:rFonts w:hint="default" w:ascii="Times New Roman" w:hAnsi="Times New Roman" w:eastAsia="仿宋" w:cs="Times New Roman"/>
          <w:bCs/>
          <w:color w:val="000000"/>
          <w:sz w:val="32"/>
          <w:szCs w:val="32"/>
          <w:lang w:val="en-US" w:eastAsia="zh-CN"/>
        </w:rPr>
        <w:t>，</w:t>
      </w:r>
      <w:r>
        <w:rPr>
          <w:rFonts w:hint="eastAsia" w:ascii="Times New Roman" w:eastAsia="仿宋" w:cs="Times New Roman"/>
          <w:bCs/>
          <w:color w:val="000000"/>
          <w:sz w:val="32"/>
          <w:szCs w:val="32"/>
          <w:lang w:val="en-US" w:eastAsia="zh-CN"/>
        </w:rPr>
        <w:t>无</w:t>
      </w:r>
      <w:r>
        <w:rPr>
          <w:rFonts w:hint="default" w:ascii="Times New Roman" w:hAnsi="Times New Roman" w:eastAsia="仿宋" w:cs="Times New Roman"/>
          <w:bCs/>
          <w:color w:val="000000"/>
          <w:sz w:val="32"/>
          <w:szCs w:val="32"/>
          <w:lang w:val="en-US" w:eastAsia="zh-CN"/>
        </w:rPr>
        <w:t>内设</w:t>
      </w:r>
      <w:r>
        <w:rPr>
          <w:rFonts w:hint="eastAsia" w:ascii="Times New Roman" w:eastAsia="仿宋" w:cs="Times New Roman"/>
          <w:bCs/>
          <w:color w:val="000000"/>
          <w:sz w:val="32"/>
          <w:szCs w:val="32"/>
          <w:lang w:val="en-US" w:eastAsia="zh-CN"/>
        </w:rPr>
        <w:t>股室</w:t>
      </w:r>
      <w:r>
        <w:rPr>
          <w:rFonts w:hint="default" w:ascii="Times New Roman" w:hAnsi="Times New Roman" w:eastAsia="仿宋" w:cs="Times New Roman"/>
          <w:bCs/>
          <w:color w:val="000000"/>
          <w:sz w:val="32"/>
          <w:szCs w:val="32"/>
          <w:lang w:val="en-US" w:eastAsia="zh-CN"/>
        </w:rPr>
        <w:t>。</w:t>
      </w:r>
    </w:p>
    <w:p w14:paraId="448A1DEA">
      <w:pPr>
        <w:rPr>
          <w:rFonts w:hint="default" w:ascii="Times New Roman" w:hAnsi="Times New Roman" w:eastAsia="黑体" w:cs="Times New Roman"/>
          <w:b w:val="0"/>
          <w:color w:val="FF0000"/>
        </w:rPr>
      </w:pPr>
      <w:r>
        <w:rPr>
          <w:rFonts w:hint="eastAsia" w:eastAsia="黑体" w:cs="Times New Roman"/>
          <w:b w:val="0"/>
          <w:color w:val="FF0000"/>
          <w:lang w:val="en-US" w:eastAsia="zh-CN"/>
        </w:rPr>
        <w:t xml:space="preserve">   </w:t>
      </w:r>
    </w:p>
    <w:p w14:paraId="1BD11915">
      <w:pPr>
        <w:pStyle w:val="5"/>
        <w:rPr>
          <w:rFonts w:hint="default" w:ascii="Times New Roman" w:hAnsi="Times New Roman" w:eastAsia="黑体" w:cs="Times New Roman"/>
          <w:b w:val="0"/>
          <w:color w:val="000000"/>
        </w:rPr>
      </w:pPr>
    </w:p>
    <w:p w14:paraId="09E76321">
      <w:pPr>
        <w:pStyle w:val="2"/>
        <w:ind w:right="440"/>
        <w:jc w:val="right"/>
        <w:rPr>
          <w:rStyle w:val="31"/>
          <w:rFonts w:hint="default" w:ascii="Times New Roman" w:hAnsi="Times New Roman" w:eastAsia="黑体" w:cs="Times New Roman"/>
          <w:b w:val="0"/>
          <w:bCs w:val="0"/>
        </w:rPr>
      </w:pPr>
      <w:r>
        <w:rPr>
          <w:rFonts w:hint="default" w:ascii="Times New Roman" w:hAnsi="Times New Roman" w:eastAsia="黑体" w:cs="Times New Roman"/>
          <w:b w:val="0"/>
          <w:color w:val="000000"/>
        </w:rPr>
        <w:t>第二部分</w:t>
      </w:r>
      <w:r>
        <w:rPr>
          <w:rFonts w:hint="default" w:ascii="Times New Roman" w:hAnsi="Times New Roman" w:eastAsia="黑体" w:cs="Times New Roman"/>
          <w:color w:val="000000"/>
        </w:rPr>
        <w:t xml:space="preserve"> </w:t>
      </w:r>
      <w:r>
        <w:rPr>
          <w:rStyle w:val="31"/>
          <w:rFonts w:hint="default" w:ascii="Times New Roman" w:hAnsi="Times New Roman" w:eastAsia="黑体" w:cs="Times New Roman"/>
          <w:b w:val="0"/>
          <w:bCs w:val="0"/>
        </w:rPr>
        <w:t>202</w:t>
      </w:r>
      <w:r>
        <w:rPr>
          <w:rStyle w:val="31"/>
          <w:rFonts w:hint="default" w:ascii="Times New Roman" w:hAnsi="Times New Roman" w:eastAsia="黑体" w:cs="Times New Roman"/>
          <w:b w:val="0"/>
          <w:bCs w:val="0"/>
          <w:lang w:val="en-US" w:eastAsia="zh-CN"/>
        </w:rPr>
        <w:t>2</w:t>
      </w:r>
      <w:r>
        <w:rPr>
          <w:rStyle w:val="31"/>
          <w:rFonts w:hint="default" w:ascii="Times New Roman" w:hAnsi="Times New Roman" w:eastAsia="黑体" w:cs="Times New Roman"/>
          <w:b w:val="0"/>
          <w:bCs w:val="0"/>
        </w:rPr>
        <w:t>年度</w:t>
      </w:r>
      <w:r>
        <w:rPr>
          <w:rStyle w:val="31"/>
          <w:rFonts w:hint="default" w:ascii="Times New Roman" w:hAnsi="Times New Roman" w:eastAsia="黑体" w:cs="Times New Roman"/>
          <w:b w:val="0"/>
          <w:bCs w:val="0"/>
          <w:lang w:eastAsia="zh-CN"/>
        </w:rPr>
        <w:t>单位</w:t>
      </w:r>
      <w:r>
        <w:rPr>
          <w:rStyle w:val="31"/>
          <w:rFonts w:hint="default" w:ascii="Times New Roman" w:hAnsi="Times New Roman" w:eastAsia="黑体" w:cs="Times New Roman"/>
          <w:b w:val="0"/>
          <w:bCs w:val="0"/>
        </w:rPr>
        <w:t>决算情况说明</w:t>
      </w:r>
      <w:bookmarkEnd w:id="16"/>
      <w:bookmarkEnd w:id="17"/>
    </w:p>
    <w:p w14:paraId="26628173">
      <w:pPr>
        <w:rPr>
          <w:rFonts w:hint="default" w:ascii="Times New Roman" w:hAnsi="Times New Roman" w:cs="Times New Roman"/>
        </w:rPr>
      </w:pPr>
    </w:p>
    <w:p w14:paraId="1424D917">
      <w:pPr>
        <w:pStyle w:val="20"/>
        <w:numPr>
          <w:ilvl w:val="0"/>
          <w:numId w:val="1"/>
        </w:numPr>
        <w:spacing w:line="600" w:lineRule="exact"/>
        <w:ind w:firstLineChars="0"/>
        <w:outlineLvl w:val="1"/>
        <w:rPr>
          <w:rStyle w:val="32"/>
          <w:rFonts w:hint="default" w:ascii="Times New Roman" w:hAnsi="Times New Roman" w:eastAsia="黑体" w:cs="Times New Roman"/>
          <w:b w:val="0"/>
        </w:rPr>
      </w:pPr>
      <w:bookmarkStart w:id="24" w:name="_Toc15396603"/>
      <w:bookmarkStart w:id="25" w:name="_Toc15377205"/>
      <w:r>
        <w:rPr>
          <w:rFonts w:hint="default" w:ascii="Times New Roman" w:hAnsi="Times New Roman" w:eastAsia="黑体" w:cs="Times New Roman"/>
          <w:color w:val="000000"/>
          <w:sz w:val="32"/>
          <w:szCs w:val="32"/>
        </w:rPr>
        <w:t>收</w:t>
      </w:r>
      <w:r>
        <w:rPr>
          <w:rStyle w:val="32"/>
          <w:rFonts w:hint="default" w:ascii="Times New Roman" w:hAnsi="Times New Roman" w:eastAsia="黑体" w:cs="Times New Roman"/>
          <w:b w:val="0"/>
        </w:rPr>
        <w:t>入支出决算总体情况说明</w:t>
      </w:r>
      <w:bookmarkEnd w:id="24"/>
      <w:bookmarkEnd w:id="25"/>
    </w:p>
    <w:p w14:paraId="2D24B22D">
      <w:pPr>
        <w:spacing w:line="600" w:lineRule="exact"/>
        <w:ind w:firstLine="640" w:firstLineChars="200"/>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年度收</w:t>
      </w:r>
      <w:r>
        <w:rPr>
          <w:rFonts w:hint="default" w:ascii="Times New Roman" w:hAnsi="Times New Roman" w:eastAsia="仿宋" w:cs="Times New Roman"/>
          <w:color w:val="000000"/>
          <w:sz w:val="32"/>
          <w:szCs w:val="32"/>
          <w:lang w:eastAsia="zh-CN"/>
        </w:rPr>
        <w:t>入、支出</w:t>
      </w:r>
      <w:r>
        <w:rPr>
          <w:rFonts w:hint="default" w:ascii="Times New Roman" w:hAnsi="Times New Roman" w:eastAsia="仿宋" w:cs="Times New Roman"/>
          <w:color w:val="000000"/>
          <w:sz w:val="32"/>
          <w:szCs w:val="32"/>
        </w:rPr>
        <w:t>总计</w:t>
      </w:r>
      <w:r>
        <w:rPr>
          <w:rFonts w:hint="default" w:ascii="Times New Roman" w:hAnsi="Times New Roman" w:eastAsia="仿宋" w:cs="Times New Roman"/>
          <w:color w:val="000000"/>
          <w:sz w:val="32"/>
          <w:szCs w:val="32"/>
          <w:lang w:eastAsia="zh-CN"/>
        </w:rPr>
        <w:t>均为</w:t>
      </w:r>
      <w:r>
        <w:rPr>
          <w:rFonts w:hint="default" w:ascii="Times New Roman" w:hAnsi="Times New Roman" w:eastAsia="仿宋" w:cs="Times New Roman"/>
          <w:color w:val="000000"/>
          <w:sz w:val="32"/>
          <w:szCs w:val="32"/>
        </w:rPr>
        <w:t>209.82</w:t>
      </w:r>
      <w:r>
        <w:rPr>
          <w:rFonts w:hint="default" w:ascii="Times New Roman" w:hAnsi="Times New Roman" w:eastAsia="仿宋" w:cs="Times New Roman"/>
          <w:color w:val="000000"/>
          <w:sz w:val="32"/>
          <w:szCs w:val="32"/>
          <w:lang w:eastAsia="zh-CN"/>
        </w:rPr>
        <w:t>万元</w:t>
      </w:r>
      <w:r>
        <w:rPr>
          <w:rFonts w:hint="default" w:ascii="Times New Roman" w:hAnsi="Times New Roman" w:eastAsia="仿宋" w:cs="Times New Roman"/>
          <w:color w:val="000000"/>
          <w:sz w:val="32"/>
          <w:szCs w:val="32"/>
        </w:rPr>
        <w:t>。与20</w:t>
      </w:r>
      <w:r>
        <w:rPr>
          <w:rFonts w:hint="default" w:ascii="Times New Roman" w:hAnsi="Times New Roman" w:eastAsia="仿宋" w:cs="Times New Roman"/>
          <w:color w:val="000000"/>
          <w:sz w:val="32"/>
          <w:szCs w:val="32"/>
          <w:lang w:val="en-US" w:eastAsia="zh-CN"/>
        </w:rPr>
        <w:t>21</w:t>
      </w:r>
      <w:r>
        <w:rPr>
          <w:rFonts w:hint="default" w:ascii="Times New Roman" w:hAnsi="Times New Roman" w:eastAsia="仿宋" w:cs="Times New Roman"/>
          <w:color w:val="000000"/>
          <w:sz w:val="32"/>
          <w:szCs w:val="32"/>
        </w:rPr>
        <w:t>年相比，收</w:t>
      </w:r>
      <w:r>
        <w:rPr>
          <w:rFonts w:hint="default" w:ascii="Times New Roman" w:hAnsi="Times New Roman" w:eastAsia="仿宋" w:cs="Times New Roman"/>
          <w:color w:val="000000"/>
          <w:sz w:val="32"/>
          <w:szCs w:val="32"/>
          <w:lang w:eastAsia="zh-CN"/>
        </w:rPr>
        <w:t>入、支出</w:t>
      </w:r>
      <w:r>
        <w:rPr>
          <w:rFonts w:hint="default" w:ascii="Times New Roman" w:hAnsi="Times New Roman" w:eastAsia="仿宋" w:cs="Times New Roman"/>
          <w:color w:val="000000"/>
          <w:sz w:val="32"/>
          <w:szCs w:val="32"/>
        </w:rPr>
        <w:t>总计</w:t>
      </w:r>
      <w:r>
        <w:rPr>
          <w:rFonts w:hint="default" w:ascii="Times New Roman" w:hAnsi="Times New Roman" w:eastAsia="仿宋" w:cs="Times New Roman"/>
          <w:color w:val="000000"/>
          <w:sz w:val="32"/>
          <w:szCs w:val="32"/>
          <w:lang w:eastAsia="zh-CN"/>
        </w:rPr>
        <w:t>各</w:t>
      </w:r>
      <w:r>
        <w:rPr>
          <w:rFonts w:hint="default" w:ascii="Times New Roman" w:hAnsi="Times New Roman" w:eastAsia="仿宋" w:cs="Times New Roman"/>
          <w:color w:val="000000"/>
          <w:sz w:val="32"/>
          <w:szCs w:val="32"/>
        </w:rPr>
        <w:t>减少</w:t>
      </w:r>
      <w:r>
        <w:rPr>
          <w:rFonts w:hint="eastAsia" w:eastAsia="仿宋" w:cs="Times New Roman"/>
          <w:color w:val="000000"/>
          <w:sz w:val="32"/>
          <w:szCs w:val="32"/>
          <w:lang w:val="en-US" w:eastAsia="zh-CN"/>
        </w:rPr>
        <w:t>2.65</w:t>
      </w:r>
      <w:r>
        <w:rPr>
          <w:rFonts w:hint="default" w:ascii="Times New Roman" w:hAnsi="Times New Roman" w:eastAsia="仿宋" w:cs="Times New Roman"/>
          <w:color w:val="000000"/>
          <w:sz w:val="32"/>
          <w:szCs w:val="32"/>
          <w:lang w:eastAsia="zh-CN"/>
        </w:rPr>
        <w:t>万元</w:t>
      </w:r>
      <w:r>
        <w:rPr>
          <w:rFonts w:hint="default" w:ascii="Times New Roman" w:hAnsi="Times New Roman" w:eastAsia="仿宋" w:cs="Times New Roman"/>
          <w:color w:val="000000"/>
          <w:sz w:val="32"/>
          <w:szCs w:val="32"/>
        </w:rPr>
        <w:t>，下降</w:t>
      </w:r>
      <w:r>
        <w:rPr>
          <w:rFonts w:hint="eastAsia" w:eastAsia="仿宋" w:cs="Times New Roman"/>
          <w:color w:val="000000"/>
          <w:sz w:val="32"/>
          <w:szCs w:val="32"/>
          <w:lang w:val="en-US" w:eastAsia="zh-CN"/>
        </w:rPr>
        <w:t>1.25</w:t>
      </w:r>
      <w:r>
        <w:rPr>
          <w:rFonts w:hint="default" w:ascii="Times New Roman" w:hAnsi="Times New Roman" w:eastAsia="仿宋" w:cs="Times New Roman"/>
          <w:color w:val="000000"/>
          <w:sz w:val="32"/>
          <w:szCs w:val="32"/>
        </w:rPr>
        <w:t>%。主要变动原因是自然资源海洋气象等支出</w:t>
      </w:r>
      <w:r>
        <w:rPr>
          <w:rFonts w:hint="eastAsia" w:eastAsia="仿宋" w:cs="Times New Roman"/>
          <w:color w:val="000000"/>
          <w:sz w:val="32"/>
          <w:szCs w:val="32"/>
          <w:lang w:eastAsia="zh-CN"/>
        </w:rPr>
        <w:t>有所减少</w:t>
      </w:r>
      <w:r>
        <w:rPr>
          <w:rFonts w:hint="default" w:ascii="Times New Roman" w:hAnsi="Times New Roman" w:eastAsia="仿宋" w:cs="Times New Roman"/>
          <w:color w:val="000000"/>
          <w:sz w:val="32"/>
          <w:szCs w:val="32"/>
          <w:lang w:eastAsia="zh-CN"/>
        </w:rPr>
        <w:t>。</w:t>
      </w:r>
    </w:p>
    <w:p w14:paraId="391AB308">
      <w:pPr>
        <w:pStyle w:val="9"/>
        <w:jc w:val="center"/>
        <w:rPr>
          <w:rFonts w:hint="default"/>
          <w:lang w:eastAsia="zh-CN"/>
        </w:rPr>
      </w:pPr>
      <w:r>
        <w:rPr>
          <w:rFonts w:ascii="Calibri" w:hAnsi="Calibri" w:eastAsia="宋体" w:cs="Times New Roman"/>
          <w:kern w:val="0"/>
          <w:sz w:val="18"/>
          <w:szCs w:val="18"/>
          <w:lang w:val="en-US" w:eastAsia="zh-CN" w:bidi="ar-SA"/>
        </w:rPr>
        <w:pict>
          <v:shape id="_x0000_i1025" o:spt="75" type="#_x0000_t75" style="height:216pt;width:380pt;" fillcolor="#FFFFFF" filled="f" o:preferrelative="t" stroked="f" coordsize="21600,21600">
            <v:path/>
            <v:fill on="f" color2="#FFFFFF" focussize="0,0"/>
            <v:stroke on="f"/>
            <v:imagedata r:id="rId6" gain="65536f" blacklevel="0f" gamma="0" o:title=""/>
            <o:lock v:ext="edit" position="f" selection="f" grouping="f" rotation="f" cropping="f" text="f" aspectratio="t"/>
            <w10:wrap type="none"/>
            <w10:anchorlock/>
          </v:shape>
        </w:pict>
      </w:r>
    </w:p>
    <w:p w14:paraId="0054020F">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（图1：收、支决算总计变动情况图）（柱状图）</w:t>
      </w:r>
    </w:p>
    <w:p w14:paraId="7DD0C908">
      <w:pPr>
        <w:pStyle w:val="5"/>
        <w:rPr>
          <w:rFonts w:hint="default" w:ascii="Times New Roman" w:hAnsi="Times New Roman" w:cs="Times New Roman"/>
        </w:rPr>
      </w:pPr>
    </w:p>
    <w:p w14:paraId="632FC97D">
      <w:pPr>
        <w:pStyle w:val="20"/>
        <w:numPr>
          <w:ilvl w:val="0"/>
          <w:numId w:val="1"/>
        </w:numPr>
        <w:spacing w:line="600" w:lineRule="exact"/>
        <w:ind w:firstLineChars="0"/>
        <w:outlineLvl w:val="1"/>
        <w:rPr>
          <w:rStyle w:val="32"/>
          <w:rFonts w:hint="default" w:ascii="Times New Roman" w:hAnsi="Times New Roman" w:eastAsia="黑体" w:cs="Times New Roman"/>
          <w:b w:val="0"/>
        </w:rPr>
      </w:pPr>
      <w:bookmarkStart w:id="26" w:name="_Toc15396604"/>
      <w:bookmarkStart w:id="27" w:name="_Toc15377206"/>
      <w:r>
        <w:rPr>
          <w:rFonts w:hint="default" w:ascii="Times New Roman" w:hAnsi="Times New Roman" w:eastAsia="黑体" w:cs="Times New Roman"/>
          <w:color w:val="000000"/>
          <w:sz w:val="32"/>
          <w:szCs w:val="32"/>
        </w:rPr>
        <w:t>收</w:t>
      </w:r>
      <w:r>
        <w:rPr>
          <w:rStyle w:val="32"/>
          <w:rFonts w:hint="default" w:ascii="Times New Roman" w:hAnsi="Times New Roman" w:eastAsia="黑体" w:cs="Times New Roman"/>
          <w:b w:val="0"/>
        </w:rPr>
        <w:t>入决算情况说明</w:t>
      </w:r>
      <w:bookmarkEnd w:id="26"/>
      <w:bookmarkEnd w:id="27"/>
    </w:p>
    <w:p w14:paraId="341FB362">
      <w:pPr>
        <w:spacing w:line="600" w:lineRule="exact"/>
        <w:ind w:firstLine="640" w:firstLineChars="200"/>
        <w:outlineLvl w:val="1"/>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年本年收入合计209.82万元，其中：一般公共预算财政拨款收入209.82万元，占</w:t>
      </w:r>
      <w:r>
        <w:rPr>
          <w:rFonts w:hint="eastAsia"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%；政府性基金预算财政拨款收入</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国有资本经营预算财政拨款收入</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上级补助收入</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%；事业收入</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%；经营收入</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%；附属单位上缴收入</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%；其他收入</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w:t>
      </w:r>
    </w:p>
    <w:p w14:paraId="6237C6C6">
      <w:pPr>
        <w:widowControl w:val="0"/>
        <w:wordWrap/>
        <w:adjustRightInd/>
        <w:snapToGrid/>
        <w:spacing w:line="240" w:lineRule="auto"/>
        <w:textAlignment w:val="auto"/>
        <w:outlineLvl w:val="1"/>
        <w:rPr>
          <w:rFonts w:hint="default" w:ascii="Times New Roman" w:hAnsi="Times New Roman" w:eastAsia="仿宋" w:cs="Times New Roman"/>
          <w:b/>
          <w:color w:val="FF0000"/>
          <w:sz w:val="32"/>
          <w:szCs w:val="32"/>
        </w:rPr>
      </w:pPr>
      <w:r>
        <w:rPr>
          <w:rFonts w:ascii="Times New Roman" w:hAnsi="Times New Roman" w:eastAsia="宋体" w:cs="Times New Roman"/>
          <w:kern w:val="2"/>
          <w:sz w:val="21"/>
          <w:szCs w:val="24"/>
          <w:lang w:val="en-US" w:eastAsia="zh-CN" w:bidi="ar-SA"/>
        </w:rPr>
        <w:pict>
          <v:shape id="_x0000_i1027" o:spt="75" type="#_x0000_t75" style="height:216pt;width:380pt;" fillcolor="#FFFFFF" filled="f" o:preferrelative="t" stroked="f" coordsize="21600,21600">
            <v:path/>
            <v:fill on="f" color2="#FFFFFF" focussize="0,0"/>
            <v:stroke on="f"/>
            <v:imagedata r:id="rId7" gain="65536f" blacklevel="0f" gamma="0" o:title=""/>
            <o:lock v:ext="edit" position="f" selection="f" grouping="f" rotation="f" cropping="f" text="f" aspectratio="t"/>
            <w10:wrap type="none"/>
            <w10:anchorlock/>
          </v:shape>
        </w:pict>
      </w:r>
    </w:p>
    <w:p w14:paraId="20C2190C">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（图2：收入决算结构图）（饼状图）</w:t>
      </w:r>
    </w:p>
    <w:p w14:paraId="63888DB7">
      <w:pPr>
        <w:spacing w:line="600" w:lineRule="exact"/>
        <w:ind w:firstLine="640" w:firstLineChars="200"/>
        <w:rPr>
          <w:rFonts w:hint="default" w:ascii="Times New Roman" w:hAnsi="Times New Roman" w:eastAsia="仿宋_GB2312" w:cs="Times New Roman"/>
          <w:color w:val="FF0000"/>
          <w:sz w:val="32"/>
          <w:szCs w:val="32"/>
        </w:rPr>
      </w:pPr>
    </w:p>
    <w:p w14:paraId="10EEC0DE">
      <w:pPr>
        <w:pStyle w:val="20"/>
        <w:numPr>
          <w:ilvl w:val="0"/>
          <w:numId w:val="1"/>
        </w:numPr>
        <w:spacing w:line="600" w:lineRule="exact"/>
        <w:ind w:firstLineChars="0"/>
        <w:outlineLvl w:val="1"/>
        <w:rPr>
          <w:rStyle w:val="32"/>
          <w:rFonts w:hint="default" w:ascii="Times New Roman" w:hAnsi="Times New Roman" w:eastAsia="黑体" w:cs="Times New Roman"/>
          <w:b w:val="0"/>
        </w:rPr>
      </w:pPr>
      <w:bookmarkStart w:id="28" w:name="_Toc15396605"/>
      <w:bookmarkStart w:id="29" w:name="_Toc15377207"/>
      <w:r>
        <w:rPr>
          <w:rFonts w:hint="default" w:ascii="Times New Roman" w:hAnsi="Times New Roman" w:eastAsia="黑体" w:cs="Times New Roman"/>
          <w:color w:val="000000"/>
          <w:sz w:val="32"/>
          <w:szCs w:val="32"/>
        </w:rPr>
        <w:t>支</w:t>
      </w:r>
      <w:r>
        <w:rPr>
          <w:rStyle w:val="32"/>
          <w:rFonts w:hint="default" w:ascii="Times New Roman" w:hAnsi="Times New Roman" w:eastAsia="黑体" w:cs="Times New Roman"/>
          <w:b w:val="0"/>
        </w:rPr>
        <w:t>出决算情况说明</w:t>
      </w:r>
      <w:bookmarkEnd w:id="28"/>
      <w:bookmarkEnd w:id="29"/>
    </w:p>
    <w:p w14:paraId="05509D4E">
      <w:pPr>
        <w:spacing w:line="600" w:lineRule="exact"/>
        <w:ind w:firstLine="640" w:firstLineChars="200"/>
        <w:outlineLvl w:val="1"/>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w:t>
      </w:r>
      <w:r>
        <w:rPr>
          <w:rFonts w:hint="default" w:ascii="Times New Roman" w:hAnsi="Times New Roman" w:eastAsia="仿宋" w:cs="Times New Roman"/>
          <w:color w:val="000000"/>
          <w:sz w:val="32"/>
          <w:szCs w:val="32"/>
          <w:lang w:val="en-US" w:eastAsia="zh-CN"/>
        </w:rPr>
        <w:t>22</w:t>
      </w:r>
      <w:r>
        <w:rPr>
          <w:rFonts w:hint="default" w:ascii="Times New Roman" w:hAnsi="Times New Roman" w:eastAsia="仿宋" w:cs="Times New Roman"/>
          <w:color w:val="000000"/>
          <w:sz w:val="32"/>
          <w:szCs w:val="32"/>
        </w:rPr>
        <w:t>年本年支出合计209.82万元，其中：基本支出209.82万元，占</w:t>
      </w:r>
      <w:r>
        <w:rPr>
          <w:rFonts w:hint="eastAsia"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%；项目支出</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%；上缴上级支出</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%；经营支出</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%；对附属单位补助支出</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w:t>
      </w:r>
    </w:p>
    <w:p w14:paraId="18EA665B">
      <w:pPr>
        <w:widowControl w:val="0"/>
        <w:wordWrap/>
        <w:adjustRightInd/>
        <w:snapToGrid/>
        <w:spacing w:line="360" w:lineRule="auto"/>
        <w:jc w:val="center"/>
        <w:textAlignment w:val="auto"/>
        <w:rPr>
          <w:rFonts w:hint="default" w:ascii="Times New Roman" w:hAnsi="Times New Roman" w:eastAsia="仿宋" w:cs="Times New Roman"/>
          <w:color w:val="000000"/>
          <w:sz w:val="32"/>
          <w:szCs w:val="32"/>
          <w:shd w:val="pct10" w:color="auto" w:fill="FFFFFF"/>
        </w:rPr>
      </w:pPr>
      <w:r>
        <w:rPr>
          <w:rFonts w:ascii="Times New Roman" w:hAnsi="Times New Roman" w:eastAsia="宋体" w:cs="Times New Roman"/>
          <w:kern w:val="2"/>
          <w:sz w:val="21"/>
          <w:szCs w:val="24"/>
          <w:lang w:val="en-US" w:eastAsia="zh-CN" w:bidi="ar-SA"/>
        </w:rPr>
        <w:pict>
          <v:shape id="_x0000_i1028" o:spt="75" type="#_x0000_t75" style="height:216pt;width:380pt;" fillcolor="#FFFFFF" filled="f" o:preferrelative="t" stroked="f" coordsize="21600,21600">
            <v:path/>
            <v:fill on="f" color2="#FFFFFF" focussize="0,0"/>
            <v:stroke on="f"/>
            <v:imagedata r:id="rId8" gain="65536f" blacklevel="0f" gamma="0" o:title=""/>
            <o:lock v:ext="edit" position="f" selection="f" grouping="f" rotation="f" cropping="f" text="f" aspectratio="t"/>
            <w10:wrap type="none"/>
            <w10:anchorlock/>
          </v:shape>
        </w:pict>
      </w:r>
    </w:p>
    <w:p w14:paraId="25A07F3C">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（图3：支出决算结构图）（饼状图）</w:t>
      </w:r>
    </w:p>
    <w:p w14:paraId="406297E2">
      <w:pPr>
        <w:spacing w:line="600" w:lineRule="exact"/>
        <w:ind w:firstLine="640" w:firstLineChars="200"/>
        <w:rPr>
          <w:rFonts w:hint="default" w:ascii="Times New Roman" w:hAnsi="Times New Roman" w:eastAsia="仿宋_GB2312" w:cs="Times New Roman"/>
          <w:color w:val="FF0000"/>
          <w:sz w:val="32"/>
          <w:szCs w:val="32"/>
        </w:rPr>
      </w:pPr>
    </w:p>
    <w:p w14:paraId="3093EB41">
      <w:pPr>
        <w:spacing w:line="600" w:lineRule="exact"/>
        <w:ind w:firstLine="640" w:firstLineChars="200"/>
        <w:outlineLvl w:val="1"/>
        <w:rPr>
          <w:rStyle w:val="32"/>
          <w:rFonts w:hint="default" w:ascii="Times New Roman" w:hAnsi="Times New Roman" w:eastAsia="黑体" w:cs="Times New Roman"/>
          <w:b w:val="0"/>
        </w:rPr>
      </w:pPr>
      <w:bookmarkStart w:id="30" w:name="_Toc15377208"/>
      <w:bookmarkStart w:id="31" w:name="_Toc15396606"/>
      <w:r>
        <w:rPr>
          <w:rFonts w:hint="default" w:ascii="Times New Roman" w:hAnsi="Times New Roman" w:eastAsia="黑体" w:cs="Times New Roman"/>
          <w:color w:val="000000"/>
          <w:sz w:val="32"/>
          <w:szCs w:val="32"/>
        </w:rPr>
        <w:t>四、财</w:t>
      </w:r>
      <w:r>
        <w:rPr>
          <w:rStyle w:val="32"/>
          <w:rFonts w:hint="default" w:ascii="Times New Roman" w:hAnsi="Times New Roman" w:eastAsia="黑体" w:cs="Times New Roman"/>
          <w:b w:val="0"/>
        </w:rPr>
        <w:t>政拨款收入支出决算总体情况说明</w:t>
      </w:r>
      <w:bookmarkEnd w:id="30"/>
      <w:bookmarkEnd w:id="31"/>
    </w:p>
    <w:p w14:paraId="1FD3E1F5">
      <w:pPr>
        <w:spacing w:line="600" w:lineRule="exact"/>
        <w:ind w:firstLine="640"/>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年财政拨款收</w:t>
      </w:r>
      <w:r>
        <w:rPr>
          <w:rFonts w:hint="default" w:ascii="Times New Roman" w:hAnsi="Times New Roman" w:eastAsia="仿宋" w:cs="Times New Roman"/>
          <w:color w:val="000000"/>
          <w:sz w:val="32"/>
          <w:szCs w:val="32"/>
          <w:lang w:eastAsia="zh-CN"/>
        </w:rPr>
        <w:t>入、支出</w:t>
      </w:r>
      <w:r>
        <w:rPr>
          <w:rFonts w:hint="default" w:ascii="Times New Roman" w:hAnsi="Times New Roman" w:eastAsia="仿宋" w:cs="Times New Roman"/>
          <w:color w:val="000000"/>
          <w:sz w:val="32"/>
          <w:szCs w:val="32"/>
        </w:rPr>
        <w:t>总计209.82</w:t>
      </w:r>
      <w:r>
        <w:rPr>
          <w:rFonts w:hint="default" w:ascii="Times New Roman" w:hAnsi="Times New Roman" w:eastAsia="仿宋" w:cs="Times New Roman"/>
          <w:color w:val="000000"/>
          <w:sz w:val="32"/>
          <w:szCs w:val="32"/>
          <w:lang w:eastAsia="zh-CN"/>
        </w:rPr>
        <w:t>万元</w:t>
      </w:r>
      <w:r>
        <w:rPr>
          <w:rFonts w:hint="default" w:ascii="Times New Roman" w:hAnsi="Times New Roman" w:eastAsia="仿宋" w:cs="Times New Roman"/>
          <w:color w:val="000000"/>
          <w:sz w:val="32"/>
          <w:szCs w:val="32"/>
        </w:rPr>
        <w:t>。与20</w:t>
      </w:r>
      <w:r>
        <w:rPr>
          <w:rFonts w:hint="default" w:ascii="Times New Roman" w:hAnsi="Times New Roman" w:eastAsia="仿宋" w:cs="Times New Roman"/>
          <w:color w:val="000000"/>
          <w:sz w:val="32"/>
          <w:szCs w:val="32"/>
          <w:lang w:val="en-US" w:eastAsia="zh-CN"/>
        </w:rPr>
        <w:t>21</w:t>
      </w:r>
      <w:r>
        <w:rPr>
          <w:rFonts w:hint="default" w:ascii="Times New Roman" w:hAnsi="Times New Roman" w:eastAsia="仿宋" w:cs="Times New Roman"/>
          <w:color w:val="000000"/>
          <w:sz w:val="32"/>
          <w:szCs w:val="32"/>
        </w:rPr>
        <w:t>年相比，财政拨款收</w:t>
      </w:r>
      <w:r>
        <w:rPr>
          <w:rFonts w:hint="default" w:ascii="Times New Roman" w:hAnsi="Times New Roman" w:eastAsia="仿宋" w:cs="Times New Roman"/>
          <w:color w:val="000000"/>
          <w:sz w:val="32"/>
          <w:szCs w:val="32"/>
          <w:lang w:eastAsia="zh-CN"/>
        </w:rPr>
        <w:t>入、支出</w:t>
      </w:r>
      <w:r>
        <w:rPr>
          <w:rFonts w:hint="default" w:ascii="Times New Roman" w:hAnsi="Times New Roman" w:eastAsia="仿宋" w:cs="Times New Roman"/>
          <w:color w:val="000000"/>
          <w:sz w:val="32"/>
          <w:szCs w:val="32"/>
        </w:rPr>
        <w:t>总计</w:t>
      </w:r>
      <w:r>
        <w:rPr>
          <w:rFonts w:hint="default" w:ascii="Times New Roman" w:hAnsi="Times New Roman" w:eastAsia="仿宋" w:cs="Times New Roman"/>
          <w:color w:val="000000"/>
          <w:sz w:val="32"/>
          <w:szCs w:val="32"/>
          <w:lang w:eastAsia="zh-CN"/>
        </w:rPr>
        <w:t>各</w:t>
      </w:r>
      <w:r>
        <w:rPr>
          <w:rFonts w:hint="default" w:ascii="Times New Roman" w:hAnsi="Times New Roman" w:eastAsia="仿宋" w:cs="Times New Roman"/>
          <w:color w:val="000000"/>
          <w:sz w:val="32"/>
          <w:szCs w:val="32"/>
        </w:rPr>
        <w:t>减少</w:t>
      </w:r>
      <w:r>
        <w:rPr>
          <w:rFonts w:hint="eastAsia" w:eastAsia="仿宋" w:cs="Times New Roman"/>
          <w:color w:val="000000"/>
          <w:sz w:val="32"/>
          <w:szCs w:val="32"/>
          <w:lang w:val="en-US" w:eastAsia="zh-CN"/>
        </w:rPr>
        <w:t>2.65</w:t>
      </w:r>
      <w:r>
        <w:rPr>
          <w:rFonts w:hint="default" w:ascii="Times New Roman" w:hAnsi="Times New Roman" w:eastAsia="仿宋" w:cs="Times New Roman"/>
          <w:color w:val="000000"/>
          <w:sz w:val="32"/>
          <w:szCs w:val="32"/>
          <w:lang w:eastAsia="zh-CN"/>
        </w:rPr>
        <w:t>万元</w:t>
      </w:r>
      <w:r>
        <w:rPr>
          <w:rFonts w:hint="default" w:ascii="Times New Roman" w:hAnsi="Times New Roman" w:eastAsia="仿宋" w:cs="Times New Roman"/>
          <w:color w:val="000000"/>
          <w:sz w:val="32"/>
          <w:szCs w:val="32"/>
        </w:rPr>
        <w:t>，下降</w:t>
      </w:r>
      <w:r>
        <w:rPr>
          <w:rFonts w:hint="eastAsia" w:eastAsia="仿宋" w:cs="Times New Roman"/>
          <w:color w:val="000000"/>
          <w:sz w:val="32"/>
          <w:szCs w:val="32"/>
          <w:lang w:val="en-US" w:eastAsia="zh-CN"/>
        </w:rPr>
        <w:t>1.25</w:t>
      </w:r>
      <w:r>
        <w:rPr>
          <w:rFonts w:hint="default" w:ascii="Times New Roman" w:hAnsi="Times New Roman" w:eastAsia="仿宋" w:cs="Times New Roman"/>
          <w:color w:val="000000"/>
          <w:sz w:val="32"/>
          <w:szCs w:val="32"/>
        </w:rPr>
        <w:t>%。主要变动原因是自然资源海洋气象等支出</w:t>
      </w:r>
      <w:r>
        <w:rPr>
          <w:rFonts w:hint="eastAsia" w:eastAsia="仿宋" w:cs="Times New Roman"/>
          <w:color w:val="000000"/>
          <w:sz w:val="32"/>
          <w:szCs w:val="32"/>
          <w:lang w:eastAsia="zh-CN"/>
        </w:rPr>
        <w:t>有所减少</w:t>
      </w:r>
      <w:r>
        <w:rPr>
          <w:rFonts w:hint="default" w:ascii="Times New Roman" w:hAnsi="Times New Roman" w:eastAsia="仿宋" w:cs="Times New Roman"/>
          <w:color w:val="000000"/>
          <w:sz w:val="32"/>
          <w:szCs w:val="32"/>
          <w:lang w:eastAsia="zh-CN"/>
        </w:rPr>
        <w:t>。</w:t>
      </w:r>
    </w:p>
    <w:p w14:paraId="34872340">
      <w:pPr>
        <w:widowControl w:val="0"/>
        <w:wordWrap/>
        <w:adjustRightInd/>
        <w:snapToGrid/>
        <w:spacing w:line="240" w:lineRule="auto"/>
        <w:jc w:val="center"/>
        <w:textAlignment w:val="auto"/>
        <w:rPr>
          <w:rFonts w:hint="default" w:ascii="Times New Roman" w:hAnsi="Times New Roman" w:eastAsia="仿宋" w:cs="Times New Roman"/>
          <w:color w:val="000000"/>
          <w:sz w:val="32"/>
          <w:szCs w:val="32"/>
        </w:rPr>
      </w:pPr>
      <w:r>
        <w:rPr>
          <w:rFonts w:ascii="Times New Roman" w:hAnsi="Times New Roman" w:eastAsia="宋体" w:cs="Times New Roman"/>
          <w:kern w:val="2"/>
          <w:sz w:val="21"/>
          <w:szCs w:val="24"/>
          <w:lang w:val="en-US" w:eastAsia="zh-CN" w:bidi="ar-SA"/>
        </w:rPr>
        <w:pict>
          <v:shape id="_x0000_i1029" o:spt="75" type="#_x0000_t75" style="height:216pt;width:380pt;" fillcolor="#FFFFFF" filled="f" o:preferrelative="t" stroked="f" coordsize="21600,21600">
            <v:path/>
            <v:fill on="f" color2="#FFFFFF" focussize="0,0"/>
            <v:stroke on="f"/>
            <v:imagedata r:id="rId6" gain="65536f" blacklevel="0f" gamma="0" o:title=""/>
            <o:lock v:ext="edit" position="f" selection="f" grouping="f" rotation="f" cropping="f" text="f" aspectratio="t"/>
            <w10:wrap type="none"/>
            <w10:anchorlock/>
          </v:shape>
        </w:pict>
      </w:r>
    </w:p>
    <w:p w14:paraId="053D63BF">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（图4：财政拨款收、支决算总计变动情况）（柱状图）</w:t>
      </w:r>
    </w:p>
    <w:p w14:paraId="05515AD3">
      <w:pPr>
        <w:spacing w:line="600" w:lineRule="exact"/>
        <w:ind w:firstLine="640"/>
        <w:rPr>
          <w:rFonts w:hint="default" w:ascii="Times New Roman" w:hAnsi="Times New Roman" w:eastAsia="仿宋" w:cs="Times New Roman"/>
          <w:b/>
          <w:color w:val="00B050"/>
          <w:sz w:val="32"/>
          <w:szCs w:val="32"/>
        </w:rPr>
      </w:pPr>
    </w:p>
    <w:p w14:paraId="636B6108">
      <w:pPr>
        <w:spacing w:line="600" w:lineRule="exact"/>
        <w:ind w:firstLine="640" w:firstLineChars="200"/>
        <w:outlineLvl w:val="1"/>
        <w:rPr>
          <w:rStyle w:val="32"/>
          <w:rFonts w:hint="default" w:ascii="Times New Roman" w:hAnsi="Times New Roman" w:eastAsia="黑体" w:cs="Times New Roman"/>
          <w:b w:val="0"/>
        </w:rPr>
      </w:pPr>
      <w:bookmarkStart w:id="32" w:name="_Toc15377209"/>
      <w:bookmarkStart w:id="33" w:name="_Toc15396607"/>
      <w:r>
        <w:rPr>
          <w:rFonts w:hint="default" w:ascii="Times New Roman" w:hAnsi="Times New Roman" w:eastAsia="黑体" w:cs="Times New Roman"/>
          <w:color w:val="000000"/>
          <w:sz w:val="32"/>
          <w:szCs w:val="32"/>
        </w:rPr>
        <w:t>五、</w:t>
      </w:r>
      <w:r>
        <w:rPr>
          <w:rFonts w:hint="default" w:ascii="Times New Roman" w:hAnsi="Times New Roman" w:eastAsia="黑体" w:cs="Times New Roman"/>
          <w:b/>
          <w:color w:val="000000"/>
          <w:sz w:val="32"/>
          <w:szCs w:val="32"/>
        </w:rPr>
        <w:t>一</w:t>
      </w:r>
      <w:r>
        <w:rPr>
          <w:rStyle w:val="32"/>
          <w:rFonts w:hint="default" w:ascii="Times New Roman" w:hAnsi="Times New Roman" w:eastAsia="黑体" w:cs="Times New Roman"/>
          <w:b w:val="0"/>
        </w:rPr>
        <w:t>般公共预算财政拨款支出决算情况说明</w:t>
      </w:r>
      <w:bookmarkEnd w:id="32"/>
      <w:bookmarkEnd w:id="33"/>
    </w:p>
    <w:p w14:paraId="15B67CB9">
      <w:pPr>
        <w:spacing w:line="600" w:lineRule="exact"/>
        <w:ind w:firstLine="643" w:firstLineChars="200"/>
        <w:outlineLvl w:val="2"/>
        <w:rPr>
          <w:rFonts w:hint="default" w:ascii="Times New Roman" w:hAnsi="Times New Roman" w:eastAsia="仿宋" w:cs="Times New Roman"/>
          <w:b/>
          <w:color w:val="000000"/>
          <w:sz w:val="32"/>
          <w:szCs w:val="32"/>
        </w:rPr>
      </w:pPr>
      <w:bookmarkStart w:id="34" w:name="_Toc15377210"/>
      <w:r>
        <w:rPr>
          <w:rFonts w:hint="default" w:ascii="Times New Roman" w:hAnsi="Times New Roman" w:eastAsia="仿宋" w:cs="Times New Roman"/>
          <w:b/>
          <w:color w:val="000000"/>
          <w:sz w:val="32"/>
          <w:szCs w:val="32"/>
        </w:rPr>
        <w:t>（一）一般公共预算财政拨款支出决算总体情况</w:t>
      </w:r>
      <w:bookmarkEnd w:id="34"/>
    </w:p>
    <w:p w14:paraId="433A2F0D">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年一般公共预算财政拨款支出209.82万元，占本年支出合计的</w:t>
      </w:r>
      <w:r>
        <w:rPr>
          <w:rFonts w:hint="eastAsia"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%。与20</w:t>
      </w:r>
      <w:r>
        <w:rPr>
          <w:rFonts w:hint="default" w:ascii="Times New Roman" w:hAnsi="Times New Roman" w:eastAsia="仿宋" w:cs="Times New Roman"/>
          <w:color w:val="000000"/>
          <w:sz w:val="32"/>
          <w:szCs w:val="32"/>
          <w:lang w:val="en-US" w:eastAsia="zh-CN"/>
        </w:rPr>
        <w:t>21</w:t>
      </w:r>
      <w:r>
        <w:rPr>
          <w:rFonts w:hint="default" w:ascii="Times New Roman" w:hAnsi="Times New Roman" w:eastAsia="仿宋" w:cs="Times New Roman"/>
          <w:color w:val="000000"/>
          <w:sz w:val="32"/>
          <w:szCs w:val="32"/>
        </w:rPr>
        <w:t>年相比，一般公共预算财政拨款减少</w:t>
      </w:r>
      <w:r>
        <w:rPr>
          <w:rFonts w:hint="eastAsia" w:eastAsia="仿宋" w:cs="Times New Roman"/>
          <w:color w:val="000000"/>
          <w:sz w:val="32"/>
          <w:szCs w:val="32"/>
          <w:lang w:val="en-US" w:eastAsia="zh-CN"/>
        </w:rPr>
        <w:t>2.65</w:t>
      </w:r>
      <w:r>
        <w:rPr>
          <w:rFonts w:hint="default" w:ascii="Times New Roman" w:hAnsi="Times New Roman" w:eastAsia="仿宋" w:cs="Times New Roman"/>
          <w:color w:val="000000"/>
          <w:sz w:val="32"/>
          <w:szCs w:val="32"/>
        </w:rPr>
        <w:t>万元，下降</w:t>
      </w:r>
      <w:r>
        <w:rPr>
          <w:rFonts w:hint="eastAsia" w:eastAsia="仿宋" w:cs="Times New Roman"/>
          <w:color w:val="000000"/>
          <w:sz w:val="32"/>
          <w:szCs w:val="32"/>
          <w:lang w:val="en-US" w:eastAsia="zh-CN"/>
        </w:rPr>
        <w:t>1.25</w:t>
      </w:r>
      <w:r>
        <w:rPr>
          <w:rFonts w:hint="default" w:ascii="Times New Roman" w:hAnsi="Times New Roman" w:eastAsia="仿宋" w:cs="Times New Roman"/>
          <w:color w:val="000000"/>
          <w:sz w:val="32"/>
          <w:szCs w:val="32"/>
        </w:rPr>
        <w:t>%。主要变动原因是自然资源海洋气象等支出</w:t>
      </w:r>
      <w:r>
        <w:rPr>
          <w:rFonts w:hint="eastAsia" w:eastAsia="仿宋" w:cs="Times New Roman"/>
          <w:color w:val="000000"/>
          <w:sz w:val="32"/>
          <w:szCs w:val="32"/>
          <w:lang w:eastAsia="zh-CN"/>
        </w:rPr>
        <w:t>有所减少</w:t>
      </w:r>
      <w:r>
        <w:rPr>
          <w:rFonts w:hint="default" w:ascii="Times New Roman" w:hAnsi="Times New Roman" w:eastAsia="仿宋" w:cs="Times New Roman"/>
          <w:color w:val="000000"/>
          <w:sz w:val="32"/>
          <w:szCs w:val="32"/>
          <w:lang w:eastAsia="zh-CN"/>
        </w:rPr>
        <w:t>。</w:t>
      </w:r>
    </w:p>
    <w:p w14:paraId="7E95EB99">
      <w:pPr>
        <w:widowControl w:val="0"/>
        <w:wordWrap/>
        <w:adjustRightInd/>
        <w:snapToGrid/>
        <w:spacing w:line="360" w:lineRule="auto"/>
        <w:jc w:val="center"/>
        <w:textAlignment w:val="auto"/>
        <w:rPr>
          <w:rFonts w:hint="default" w:ascii="Times New Roman" w:hAnsi="Times New Roman" w:eastAsia="仿宋" w:cs="Times New Roman"/>
          <w:color w:val="000000"/>
          <w:sz w:val="32"/>
          <w:szCs w:val="32"/>
        </w:rPr>
      </w:pPr>
      <w:r>
        <w:rPr>
          <w:rFonts w:ascii="Times New Roman" w:hAnsi="Times New Roman" w:eastAsia="宋体" w:cs="Times New Roman"/>
          <w:kern w:val="2"/>
          <w:sz w:val="21"/>
          <w:szCs w:val="24"/>
          <w:lang w:val="en-US" w:eastAsia="zh-CN" w:bidi="ar-SA"/>
        </w:rPr>
        <w:pict>
          <v:shape id="_x0000_i1030" o:spt="75" type="#_x0000_t75" style="height:166.85pt;width:380pt;" fillcolor="#FFFFFF" filled="f" o:preferrelative="t" stroked="f" coordsize="21600,21600">
            <v:path/>
            <v:fill on="f" color2="#FFFFFF" focussize="0,0"/>
            <v:stroke on="f"/>
            <v:imagedata r:id="rId6" gain="65536f" blacklevel="0f" gamma="0" o:title=""/>
            <o:lock v:ext="edit" position="f" selection="f" grouping="f" rotation="f" cropping="f" text="f" aspectratio="t"/>
            <w10:wrap type="none"/>
            <w10:anchorlock/>
          </v:shape>
        </w:pict>
      </w:r>
    </w:p>
    <w:p w14:paraId="2AEA8C6C">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（图5：一般公共预算财政拨款支出决算变动情况）（柱状图）</w:t>
      </w:r>
    </w:p>
    <w:p w14:paraId="7FD50048">
      <w:pPr>
        <w:spacing w:line="600" w:lineRule="exact"/>
        <w:ind w:firstLine="640" w:firstLineChars="200"/>
        <w:rPr>
          <w:rFonts w:hint="default" w:ascii="Times New Roman" w:hAnsi="Times New Roman" w:eastAsia="仿宋" w:cs="Times New Roman"/>
          <w:color w:val="000000"/>
          <w:sz w:val="32"/>
          <w:szCs w:val="32"/>
        </w:rPr>
      </w:pPr>
    </w:p>
    <w:p w14:paraId="1721493A">
      <w:pPr>
        <w:spacing w:line="600" w:lineRule="exact"/>
        <w:ind w:firstLine="643" w:firstLineChars="200"/>
        <w:outlineLvl w:val="2"/>
        <w:rPr>
          <w:rFonts w:hint="default" w:ascii="Times New Roman" w:hAnsi="Times New Roman" w:eastAsia="仿宋" w:cs="Times New Roman"/>
          <w:b/>
          <w:color w:val="000000"/>
          <w:sz w:val="32"/>
          <w:szCs w:val="32"/>
        </w:rPr>
      </w:pPr>
      <w:bookmarkStart w:id="35" w:name="_Toc15377211"/>
      <w:r>
        <w:rPr>
          <w:rFonts w:hint="default" w:ascii="Times New Roman" w:hAnsi="Times New Roman" w:eastAsia="仿宋" w:cs="Times New Roman"/>
          <w:b/>
          <w:color w:val="000000"/>
          <w:sz w:val="32"/>
          <w:szCs w:val="32"/>
        </w:rPr>
        <w:t>（二）一般公共预算财政拨款支出决算结构情况</w:t>
      </w:r>
      <w:bookmarkEnd w:id="35"/>
    </w:p>
    <w:p w14:paraId="5072BD5A">
      <w:pPr>
        <w:spacing w:line="60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年一般公共预算财政拨款支出209.82万元，主要用于以下方面:</w:t>
      </w:r>
    </w:p>
    <w:p w14:paraId="089DBB55">
      <w:pPr>
        <w:wordWrap/>
        <w:spacing w:line="590" w:lineRule="exact"/>
        <w:ind w:firstLine="640"/>
        <w:textAlignment w:val="auto"/>
        <w:rPr>
          <w:rFonts w:hint="eastAsia" w:ascii="仿宋" w:hAnsi="仿宋" w:eastAsia="仿宋"/>
          <w:b/>
          <w:color w:val="000000"/>
          <w:sz w:val="32"/>
          <w:szCs w:val="32"/>
        </w:rPr>
      </w:pPr>
      <w:r>
        <w:rPr>
          <w:rFonts w:hint="eastAsia" w:ascii="仿宋" w:hAnsi="仿宋" w:eastAsia="仿宋"/>
          <w:b/>
          <w:color w:val="000000"/>
          <w:sz w:val="32"/>
          <w:szCs w:val="32"/>
        </w:rPr>
        <w:t>社会保障和就业</w:t>
      </w:r>
      <w:r>
        <w:rPr>
          <w:rFonts w:hint="eastAsia" w:ascii="仿宋" w:hAnsi="仿宋" w:eastAsia="仿宋"/>
          <w:b/>
          <w:color w:val="auto"/>
          <w:sz w:val="32"/>
          <w:szCs w:val="32"/>
          <w:highlight w:val="none"/>
        </w:rPr>
        <w:t>（类）</w:t>
      </w:r>
      <w:r>
        <w:rPr>
          <w:rFonts w:hint="eastAsia" w:ascii="仿宋" w:hAnsi="仿宋" w:eastAsia="仿宋"/>
          <w:b/>
          <w:bCs/>
          <w:color w:val="000000"/>
          <w:sz w:val="32"/>
          <w:szCs w:val="32"/>
        </w:rPr>
        <w:t>支出</w:t>
      </w:r>
      <w:r>
        <w:rPr>
          <w:rFonts w:hint="eastAsia" w:ascii="仿宋" w:hAnsi="仿宋" w:eastAsia="仿宋"/>
          <w:color w:val="000000"/>
          <w:sz w:val="32"/>
          <w:szCs w:val="32"/>
          <w:lang w:val="en-US" w:eastAsia="zh-CN"/>
        </w:rPr>
        <w:t>25.43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12.12</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卫</w:t>
      </w:r>
    </w:p>
    <w:p w14:paraId="1E801E5D">
      <w:pPr>
        <w:jc w:val="left"/>
        <w:rPr>
          <w:rFonts w:ascii="仿宋" w:hAnsi="仿宋" w:eastAsia="仿宋"/>
          <w:color w:val="auto"/>
          <w:sz w:val="32"/>
          <w:szCs w:val="32"/>
          <w:highlight w:val="none"/>
        </w:rPr>
      </w:pPr>
      <w:r>
        <w:rPr>
          <w:rFonts w:hint="eastAsia" w:ascii="仿宋" w:hAnsi="仿宋" w:eastAsia="仿宋"/>
          <w:b/>
          <w:color w:val="000000"/>
          <w:sz w:val="32"/>
          <w:szCs w:val="32"/>
        </w:rPr>
        <w:t>生健康</w:t>
      </w:r>
      <w:r>
        <w:rPr>
          <w:rFonts w:hint="eastAsia" w:ascii="仿宋" w:hAnsi="仿宋" w:eastAsia="仿宋"/>
          <w:b/>
          <w:color w:val="auto"/>
          <w:sz w:val="32"/>
          <w:szCs w:val="32"/>
          <w:highlight w:val="none"/>
        </w:rPr>
        <w:t>（类）</w:t>
      </w:r>
      <w:r>
        <w:rPr>
          <w:rFonts w:hint="eastAsia" w:ascii="仿宋" w:hAnsi="仿宋" w:eastAsia="仿宋"/>
          <w:b/>
          <w:color w:val="000000"/>
          <w:sz w:val="32"/>
          <w:szCs w:val="32"/>
        </w:rPr>
        <w:t>支出</w:t>
      </w:r>
      <w:r>
        <w:rPr>
          <w:rFonts w:hint="eastAsia" w:ascii="仿宋" w:hAnsi="仿宋" w:eastAsia="仿宋"/>
          <w:color w:val="000000"/>
          <w:sz w:val="32"/>
          <w:szCs w:val="32"/>
          <w:lang w:val="en-US" w:eastAsia="zh-CN"/>
        </w:rPr>
        <w:t>6.24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2.97</w:t>
      </w:r>
      <w:r>
        <w:rPr>
          <w:rFonts w:ascii="仿宋" w:hAnsi="仿宋" w:eastAsia="仿宋"/>
          <w:color w:val="000000"/>
          <w:sz w:val="32"/>
          <w:szCs w:val="32"/>
        </w:rPr>
        <w:t>%</w:t>
      </w:r>
      <w:r>
        <w:rPr>
          <w:rFonts w:hint="eastAsia" w:ascii="仿宋" w:hAnsi="仿宋" w:eastAsia="仿宋"/>
          <w:b/>
          <w:color w:val="000000"/>
          <w:sz w:val="32"/>
          <w:szCs w:val="32"/>
        </w:rPr>
        <w:t>自然资源海洋气象等</w:t>
      </w:r>
      <w:r>
        <w:rPr>
          <w:rFonts w:hint="eastAsia" w:ascii="仿宋" w:hAnsi="仿宋" w:eastAsia="仿宋"/>
          <w:b/>
          <w:color w:val="auto"/>
          <w:sz w:val="32"/>
          <w:szCs w:val="32"/>
          <w:highlight w:val="none"/>
        </w:rPr>
        <w:t>（类）</w:t>
      </w:r>
      <w:r>
        <w:rPr>
          <w:rFonts w:hint="eastAsia" w:ascii="仿宋" w:hAnsi="仿宋" w:eastAsia="仿宋"/>
          <w:b/>
          <w:bCs/>
          <w:color w:val="000000"/>
          <w:sz w:val="32"/>
          <w:szCs w:val="32"/>
        </w:rPr>
        <w:t>支出</w:t>
      </w:r>
      <w:r>
        <w:rPr>
          <w:rFonts w:hint="eastAsia" w:ascii="仿宋" w:hAnsi="仿宋" w:eastAsia="仿宋"/>
          <w:color w:val="000000"/>
          <w:sz w:val="32"/>
          <w:szCs w:val="32"/>
          <w:lang w:val="en-US" w:eastAsia="zh-CN"/>
        </w:rPr>
        <w:t>163.8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78.07</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住房保障</w:t>
      </w:r>
      <w:r>
        <w:rPr>
          <w:rFonts w:hint="eastAsia" w:ascii="仿宋" w:hAnsi="仿宋" w:eastAsia="仿宋"/>
          <w:b/>
          <w:color w:val="auto"/>
          <w:sz w:val="32"/>
          <w:szCs w:val="32"/>
          <w:highlight w:val="none"/>
        </w:rPr>
        <w:t>（类）</w:t>
      </w:r>
      <w:r>
        <w:rPr>
          <w:rFonts w:hint="eastAsia" w:ascii="仿宋" w:hAnsi="仿宋" w:eastAsia="仿宋"/>
          <w:b/>
          <w:color w:val="000000"/>
          <w:sz w:val="32"/>
          <w:szCs w:val="32"/>
        </w:rPr>
        <w:t>支出</w:t>
      </w:r>
      <w:r>
        <w:rPr>
          <w:rFonts w:hint="eastAsia" w:ascii="仿宋" w:hAnsi="仿宋" w:eastAsia="仿宋"/>
          <w:color w:val="000000"/>
          <w:sz w:val="32"/>
          <w:szCs w:val="32"/>
          <w:lang w:val="en-US" w:eastAsia="zh-CN"/>
        </w:rPr>
        <w:t>14.34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6.83</w:t>
      </w:r>
      <w:r>
        <w:rPr>
          <w:rFonts w:ascii="仿宋" w:hAnsi="仿宋" w:eastAsia="仿宋"/>
          <w:color w:val="000000"/>
          <w:sz w:val="32"/>
          <w:szCs w:val="32"/>
        </w:rPr>
        <w:t>%</w:t>
      </w:r>
      <w:r>
        <w:rPr>
          <w:rFonts w:hint="eastAsia" w:ascii="仿宋" w:hAnsi="仿宋" w:eastAsia="仿宋"/>
          <w:color w:val="000000"/>
          <w:sz w:val="32"/>
          <w:szCs w:val="32"/>
        </w:rPr>
        <w:t>。</w:t>
      </w:r>
    </w:p>
    <w:p w14:paraId="3F0D2EEF">
      <w:pPr>
        <w:widowControl w:val="0"/>
        <w:wordWrap/>
        <w:adjustRightInd/>
        <w:snapToGrid/>
        <w:spacing w:line="240" w:lineRule="auto"/>
        <w:ind w:firstLine="641"/>
        <w:textAlignment w:val="auto"/>
        <w:rPr>
          <w:rFonts w:hint="default" w:ascii="Times New Roman" w:hAnsi="Times New Roman" w:eastAsia="仿宋" w:cs="Times New Roman"/>
          <w:color w:val="000000"/>
          <w:sz w:val="32"/>
          <w:szCs w:val="32"/>
        </w:rPr>
      </w:pPr>
      <w:r>
        <w:rPr>
          <w:rFonts w:ascii="Times New Roman" w:hAnsi="Times New Roman" w:eastAsia="宋体" w:cs="Times New Roman"/>
          <w:kern w:val="2"/>
          <w:sz w:val="21"/>
          <w:szCs w:val="24"/>
          <w:lang w:val="en-US" w:eastAsia="zh-CN" w:bidi="ar-SA"/>
        </w:rPr>
        <w:pict>
          <v:shape id="_x0000_i1031" o:spt="75" type="#_x0000_t75" style="height:172.7pt;width:380pt;" fillcolor="#FFFFFF" filled="f" o:preferrelative="t" stroked="f" coordsize="21600,21600">
            <v:path/>
            <v:fill on="f" color2="#FFFFFF" focussize="0,0"/>
            <v:stroke on="f"/>
            <v:imagedata r:id="rId9" gain="65536f" blacklevel="0f" gamma="0" o:title=""/>
            <o:lock v:ext="edit" position="f" selection="f" grouping="f" rotation="f" cropping="f" text="f" aspectratio="t"/>
            <w10:wrap type="none"/>
            <w10:anchorlock/>
          </v:shape>
        </w:pict>
      </w:r>
    </w:p>
    <w:p w14:paraId="3D33D155">
      <w:pPr>
        <w:spacing w:line="600" w:lineRule="exact"/>
        <w:jc w:val="center"/>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（图6：一般公共预算财政拨款支出决算结构）（饼状图）</w:t>
      </w:r>
    </w:p>
    <w:p w14:paraId="0115B9F6">
      <w:pPr>
        <w:spacing w:line="600" w:lineRule="exact"/>
        <w:ind w:firstLine="640" w:firstLineChars="200"/>
        <w:rPr>
          <w:rFonts w:hint="default" w:ascii="Times New Roman" w:hAnsi="Times New Roman" w:eastAsia="仿宋" w:cs="Times New Roman"/>
          <w:color w:val="000000"/>
          <w:sz w:val="32"/>
          <w:szCs w:val="32"/>
        </w:rPr>
      </w:pPr>
    </w:p>
    <w:p w14:paraId="5DB53444">
      <w:pPr>
        <w:spacing w:line="600" w:lineRule="exact"/>
        <w:ind w:firstLine="643" w:firstLineChars="200"/>
        <w:outlineLvl w:val="2"/>
        <w:rPr>
          <w:rFonts w:hint="default" w:ascii="Times New Roman" w:hAnsi="Times New Roman" w:eastAsia="仿宋" w:cs="Times New Roman"/>
          <w:b/>
          <w:color w:val="000000"/>
          <w:sz w:val="32"/>
          <w:szCs w:val="32"/>
        </w:rPr>
      </w:pPr>
      <w:bookmarkStart w:id="36" w:name="_Toc15377212"/>
      <w:r>
        <w:rPr>
          <w:rFonts w:hint="default" w:ascii="Times New Roman" w:hAnsi="Times New Roman" w:eastAsia="仿宋" w:cs="Times New Roman"/>
          <w:b/>
          <w:color w:val="000000"/>
          <w:sz w:val="32"/>
          <w:szCs w:val="32"/>
        </w:rPr>
        <w:t>（三）一般公共预算财政拨款支出决算具体情况</w:t>
      </w:r>
      <w:bookmarkEnd w:id="36"/>
    </w:p>
    <w:p w14:paraId="49E3EAAA">
      <w:pPr>
        <w:spacing w:line="600" w:lineRule="exact"/>
        <w:ind w:firstLine="643" w:firstLineChars="200"/>
        <w:outlineLvl w:val="2"/>
        <w:rPr>
          <w:rStyle w:val="17"/>
          <w:rFonts w:hint="default" w:ascii="Times New Roman" w:hAnsi="Times New Roman" w:eastAsia="仿宋" w:cs="Times New Roman"/>
          <w:bCs/>
          <w:color w:val="000000"/>
          <w:sz w:val="32"/>
          <w:szCs w:val="32"/>
        </w:rPr>
      </w:pPr>
      <w:bookmarkStart w:id="37" w:name="_Toc15377444"/>
      <w:bookmarkStart w:id="38" w:name="_Toc15377213"/>
      <w:bookmarkStart w:id="39" w:name="_Toc15378460"/>
      <w:r>
        <w:rPr>
          <w:rFonts w:hint="default" w:ascii="Times New Roman" w:hAnsi="Times New Roman" w:eastAsia="仿宋" w:cs="Times New Roman"/>
          <w:b/>
          <w:color w:val="000000"/>
          <w:sz w:val="32"/>
          <w:szCs w:val="32"/>
        </w:rPr>
        <w:t>202</w:t>
      </w:r>
      <w:r>
        <w:rPr>
          <w:rFonts w:hint="default" w:ascii="Times New Roman" w:hAnsi="Times New Roman" w:eastAsia="仿宋" w:cs="Times New Roman"/>
          <w:b/>
          <w:color w:val="000000"/>
          <w:sz w:val="32"/>
          <w:szCs w:val="32"/>
          <w:lang w:val="en-US" w:eastAsia="zh-CN"/>
        </w:rPr>
        <w:t>2</w:t>
      </w:r>
      <w:r>
        <w:rPr>
          <w:rFonts w:hint="default" w:ascii="Times New Roman" w:hAnsi="Times New Roman" w:eastAsia="仿宋" w:cs="Times New Roman"/>
          <w:b/>
          <w:color w:val="000000"/>
          <w:sz w:val="32"/>
          <w:szCs w:val="32"/>
        </w:rPr>
        <w:t>年</w:t>
      </w:r>
      <w:r>
        <w:rPr>
          <w:rFonts w:hint="default" w:ascii="Times New Roman" w:hAnsi="Times New Roman" w:eastAsia="仿宋" w:cs="Times New Roman"/>
          <w:b/>
          <w:color w:val="000000"/>
          <w:sz w:val="32"/>
          <w:szCs w:val="32"/>
          <w:lang w:eastAsia="zh-CN"/>
        </w:rPr>
        <w:t>一</w:t>
      </w:r>
      <w:r>
        <w:rPr>
          <w:rFonts w:hint="default" w:ascii="Times New Roman" w:hAnsi="Times New Roman" w:eastAsia="仿宋" w:cs="Times New Roman"/>
          <w:b/>
          <w:color w:val="000000"/>
          <w:sz w:val="32"/>
          <w:szCs w:val="32"/>
        </w:rPr>
        <w:t>般公共预算支出决算数为</w:t>
      </w:r>
      <w:r>
        <w:rPr>
          <w:rFonts w:hint="default" w:ascii="Times New Roman" w:hAnsi="Times New Roman" w:eastAsia="仿宋" w:cs="Times New Roman"/>
          <w:color w:val="000000"/>
          <w:sz w:val="32"/>
          <w:szCs w:val="32"/>
        </w:rPr>
        <w:t>209.82，</w:t>
      </w:r>
      <w:r>
        <w:rPr>
          <w:rStyle w:val="17"/>
          <w:rFonts w:hint="default" w:ascii="Times New Roman" w:hAnsi="Times New Roman" w:eastAsia="仿宋" w:cs="Times New Roman"/>
          <w:bCs/>
          <w:color w:val="000000"/>
          <w:sz w:val="32"/>
          <w:szCs w:val="32"/>
        </w:rPr>
        <w:t>完成预算</w:t>
      </w:r>
      <w:r>
        <w:rPr>
          <w:rStyle w:val="17"/>
          <w:rFonts w:hint="eastAsia" w:eastAsia="仿宋" w:cs="Times New Roman"/>
          <w:bCs/>
          <w:color w:val="000000"/>
          <w:sz w:val="32"/>
          <w:szCs w:val="32"/>
          <w:lang w:val="en-US" w:eastAsia="zh-CN"/>
        </w:rPr>
        <w:t>100</w:t>
      </w:r>
      <w:r>
        <w:rPr>
          <w:rStyle w:val="17"/>
          <w:rFonts w:hint="default" w:ascii="Times New Roman" w:hAnsi="Times New Roman" w:eastAsia="仿宋" w:cs="Times New Roman"/>
          <w:bCs/>
          <w:color w:val="000000"/>
          <w:sz w:val="32"/>
          <w:szCs w:val="32"/>
        </w:rPr>
        <w:t>%。其中：</w:t>
      </w:r>
      <w:bookmarkEnd w:id="37"/>
      <w:bookmarkEnd w:id="38"/>
      <w:bookmarkEnd w:id="39"/>
    </w:p>
    <w:p w14:paraId="35198697">
      <w:pPr>
        <w:spacing w:line="600" w:lineRule="exact"/>
        <w:ind w:firstLine="643" w:firstLineChars="200"/>
        <w:outlineLvl w:val="2"/>
        <w:rPr>
          <w:rFonts w:hint="default"/>
        </w:rPr>
      </w:pPr>
      <w:r>
        <w:rPr>
          <w:rStyle w:val="17"/>
          <w:rFonts w:hint="eastAsia" w:ascii="仿宋" w:hAnsi="仿宋" w:eastAsia="仿宋"/>
          <w:b/>
          <w:bCs w:val="0"/>
          <w:color w:val="000000"/>
          <w:sz w:val="32"/>
          <w:szCs w:val="32"/>
          <w:lang w:val="en-US" w:eastAsia="zh-CN"/>
        </w:rPr>
        <w:t>1.</w:t>
      </w:r>
      <w:r>
        <w:rPr>
          <w:rStyle w:val="17"/>
          <w:rFonts w:hint="eastAsia" w:ascii="仿宋" w:hAnsi="仿宋" w:eastAsia="仿宋"/>
          <w:b/>
          <w:bCs w:val="0"/>
          <w:color w:val="000000"/>
          <w:sz w:val="32"/>
          <w:szCs w:val="32"/>
        </w:rPr>
        <w:t>社会保障和就业（类）行政事业单位养老支出（款）事业单位离退休（项）</w:t>
      </w:r>
      <w:r>
        <w:rPr>
          <w:rStyle w:val="17"/>
          <w:rFonts w:hint="eastAsia" w:ascii="仿宋" w:hAnsi="仿宋" w:eastAsia="仿宋"/>
          <w:b w:val="0"/>
          <w:bCs/>
          <w:color w:val="000000"/>
          <w:sz w:val="32"/>
          <w:szCs w:val="32"/>
        </w:rPr>
        <w:t>：</w:t>
      </w:r>
      <w:r>
        <w:rPr>
          <w:rStyle w:val="17"/>
          <w:rFonts w:hint="default" w:ascii="Times New Roman" w:hAnsi="Times New Roman" w:eastAsia="仿宋" w:cs="Times New Roman"/>
          <w:b w:val="0"/>
          <w:bCs/>
          <w:color w:val="000000"/>
          <w:sz w:val="32"/>
          <w:szCs w:val="32"/>
        </w:rPr>
        <w:t>支出决算为</w:t>
      </w:r>
      <w:r>
        <w:rPr>
          <w:rStyle w:val="17"/>
          <w:rFonts w:hint="eastAsia" w:eastAsia="仿宋" w:cs="Times New Roman"/>
          <w:b w:val="0"/>
          <w:bCs/>
          <w:color w:val="000000"/>
          <w:sz w:val="32"/>
          <w:szCs w:val="32"/>
          <w:lang w:val="en-US" w:eastAsia="zh-CN"/>
        </w:rPr>
        <w:t>7</w:t>
      </w:r>
      <w:r>
        <w:rPr>
          <w:rStyle w:val="17"/>
          <w:rFonts w:hint="default" w:ascii="Times New Roman" w:hAnsi="Times New Roman" w:eastAsia="仿宋" w:cs="Times New Roman"/>
          <w:b w:val="0"/>
          <w:bCs/>
          <w:color w:val="000000"/>
          <w:sz w:val="32"/>
          <w:szCs w:val="32"/>
        </w:rPr>
        <w:t>万元，完成预算</w:t>
      </w:r>
      <w:r>
        <w:rPr>
          <w:rStyle w:val="17"/>
          <w:rFonts w:hint="eastAsia" w:eastAsia="仿宋" w:cs="Times New Roman"/>
          <w:b w:val="0"/>
          <w:bCs/>
          <w:color w:val="000000"/>
          <w:sz w:val="32"/>
          <w:szCs w:val="32"/>
          <w:lang w:val="en-US" w:eastAsia="zh-CN"/>
        </w:rPr>
        <w:t>100</w:t>
      </w:r>
      <w:r>
        <w:rPr>
          <w:rStyle w:val="17"/>
          <w:rFonts w:hint="default" w:ascii="Times New Roman" w:hAnsi="Times New Roman" w:eastAsia="仿宋" w:cs="Times New Roman"/>
          <w:b w:val="0"/>
          <w:bCs/>
          <w:color w:val="000000"/>
          <w:sz w:val="32"/>
          <w:szCs w:val="32"/>
        </w:rPr>
        <w:t>%，决算数等于预算数。</w:t>
      </w:r>
    </w:p>
    <w:p w14:paraId="3DA3469F">
      <w:pPr>
        <w:spacing w:line="600" w:lineRule="exact"/>
        <w:ind w:firstLine="643" w:firstLineChars="200"/>
        <w:rPr>
          <w:rStyle w:val="17"/>
          <w:rFonts w:ascii="仿宋" w:hAnsi="仿宋" w:eastAsia="仿宋"/>
          <w:b w:val="0"/>
          <w:bCs/>
          <w:color w:val="000000"/>
          <w:sz w:val="32"/>
          <w:szCs w:val="32"/>
        </w:rPr>
      </w:pPr>
      <w:r>
        <w:rPr>
          <w:rStyle w:val="17"/>
          <w:rFonts w:hint="eastAsia" w:ascii="仿宋" w:hAnsi="仿宋" w:eastAsia="仿宋"/>
          <w:b/>
          <w:bCs w:val="0"/>
          <w:color w:val="000000"/>
          <w:sz w:val="32"/>
          <w:szCs w:val="32"/>
          <w:lang w:val="en-US" w:eastAsia="zh-CN"/>
        </w:rPr>
        <w:t>2.</w:t>
      </w:r>
      <w:r>
        <w:rPr>
          <w:rStyle w:val="17"/>
          <w:rFonts w:hint="eastAsia" w:ascii="仿宋" w:hAnsi="仿宋" w:eastAsia="仿宋"/>
          <w:b/>
          <w:bCs w:val="0"/>
          <w:color w:val="000000"/>
          <w:sz w:val="32"/>
          <w:szCs w:val="32"/>
        </w:rPr>
        <w:t>社会保障和就业（类）行政事业单位养老支出（款）机关事业单位基本养老保险缴费支出（项）</w:t>
      </w:r>
      <w:r>
        <w:rPr>
          <w:rStyle w:val="17"/>
          <w:rFonts w:hint="eastAsia" w:ascii="仿宋" w:hAnsi="仿宋" w:eastAsia="仿宋"/>
          <w:b w:val="0"/>
          <w:bCs/>
          <w:color w:val="000000"/>
          <w:sz w:val="32"/>
          <w:szCs w:val="32"/>
        </w:rPr>
        <w:t>：</w:t>
      </w:r>
      <w:r>
        <w:rPr>
          <w:rStyle w:val="17"/>
          <w:rFonts w:hint="default" w:ascii="Times New Roman" w:hAnsi="Times New Roman" w:eastAsia="仿宋" w:cs="Times New Roman"/>
          <w:b w:val="0"/>
          <w:bCs/>
          <w:color w:val="000000"/>
          <w:sz w:val="32"/>
          <w:szCs w:val="32"/>
        </w:rPr>
        <w:t>支出决算为</w:t>
      </w:r>
      <w:r>
        <w:rPr>
          <w:rStyle w:val="17"/>
          <w:rFonts w:hint="eastAsia" w:eastAsia="仿宋" w:cs="Times New Roman"/>
          <w:b w:val="0"/>
          <w:bCs/>
          <w:color w:val="000000"/>
          <w:sz w:val="32"/>
          <w:szCs w:val="32"/>
          <w:lang w:val="en-US" w:eastAsia="zh-CN"/>
        </w:rPr>
        <w:t>12.7</w:t>
      </w:r>
      <w:r>
        <w:rPr>
          <w:rStyle w:val="17"/>
          <w:rFonts w:hint="default" w:ascii="Times New Roman" w:hAnsi="Times New Roman" w:eastAsia="仿宋" w:cs="Times New Roman"/>
          <w:b w:val="0"/>
          <w:bCs/>
          <w:color w:val="000000"/>
          <w:sz w:val="32"/>
          <w:szCs w:val="32"/>
        </w:rPr>
        <w:t>万元，完成预算</w:t>
      </w:r>
      <w:r>
        <w:rPr>
          <w:rStyle w:val="17"/>
          <w:rFonts w:hint="eastAsia" w:eastAsia="仿宋" w:cs="Times New Roman"/>
          <w:b w:val="0"/>
          <w:bCs/>
          <w:color w:val="000000"/>
          <w:sz w:val="32"/>
          <w:szCs w:val="32"/>
          <w:lang w:val="en-US" w:eastAsia="zh-CN"/>
        </w:rPr>
        <w:t>100</w:t>
      </w:r>
      <w:r>
        <w:rPr>
          <w:rStyle w:val="17"/>
          <w:rFonts w:hint="default" w:ascii="Times New Roman" w:hAnsi="Times New Roman" w:eastAsia="仿宋" w:cs="Times New Roman"/>
          <w:b w:val="0"/>
          <w:bCs/>
          <w:color w:val="000000"/>
          <w:sz w:val="32"/>
          <w:szCs w:val="32"/>
        </w:rPr>
        <w:t>%，决算数等于预算数。</w:t>
      </w:r>
    </w:p>
    <w:p w14:paraId="6A8B549C">
      <w:pPr>
        <w:wordWrap/>
        <w:spacing w:line="590" w:lineRule="exact"/>
        <w:ind w:firstLine="643" w:firstLineChars="200"/>
        <w:textAlignment w:val="auto"/>
        <w:rPr>
          <w:rStyle w:val="17"/>
          <w:rFonts w:ascii="仿宋" w:hAnsi="仿宋" w:eastAsia="仿宋"/>
          <w:b w:val="0"/>
          <w:bCs/>
          <w:color w:val="000000"/>
          <w:sz w:val="32"/>
          <w:szCs w:val="32"/>
        </w:rPr>
      </w:pPr>
      <w:r>
        <w:rPr>
          <w:rStyle w:val="17"/>
          <w:rFonts w:hint="eastAsia" w:ascii="仿宋" w:hAnsi="仿宋" w:eastAsia="仿宋"/>
          <w:b/>
          <w:bCs w:val="0"/>
          <w:color w:val="000000"/>
          <w:sz w:val="32"/>
          <w:szCs w:val="32"/>
          <w:lang w:val="en-US" w:eastAsia="zh-CN"/>
        </w:rPr>
        <w:t>3</w:t>
      </w:r>
      <w:r>
        <w:rPr>
          <w:rStyle w:val="17"/>
          <w:rFonts w:hint="eastAsia" w:ascii="仿宋" w:hAnsi="仿宋" w:eastAsia="仿宋"/>
          <w:b/>
          <w:bCs w:val="0"/>
          <w:color w:val="000000"/>
          <w:sz w:val="32"/>
          <w:szCs w:val="32"/>
        </w:rPr>
        <w:t>.社会保障和就业（类）行政事业单位养老支出（款）机关事业单位职业年金缴费支出（项）</w:t>
      </w:r>
      <w:r>
        <w:rPr>
          <w:rStyle w:val="17"/>
          <w:rFonts w:hint="eastAsia" w:ascii="仿宋" w:hAnsi="仿宋" w:eastAsia="仿宋"/>
          <w:b w:val="0"/>
          <w:bCs/>
          <w:color w:val="000000"/>
          <w:sz w:val="32"/>
          <w:szCs w:val="32"/>
        </w:rPr>
        <w:t>：</w:t>
      </w:r>
      <w:r>
        <w:rPr>
          <w:rStyle w:val="17"/>
          <w:rFonts w:hint="default" w:ascii="Times New Roman" w:hAnsi="Times New Roman" w:eastAsia="仿宋" w:cs="Times New Roman"/>
          <w:b w:val="0"/>
          <w:bCs/>
          <w:color w:val="000000"/>
          <w:sz w:val="32"/>
          <w:szCs w:val="32"/>
        </w:rPr>
        <w:t>支出决算为</w:t>
      </w:r>
      <w:r>
        <w:rPr>
          <w:rStyle w:val="17"/>
          <w:rFonts w:hint="eastAsia" w:eastAsia="仿宋" w:cs="Times New Roman"/>
          <w:b w:val="0"/>
          <w:bCs/>
          <w:color w:val="000000"/>
          <w:sz w:val="32"/>
          <w:szCs w:val="32"/>
          <w:lang w:val="en-US" w:eastAsia="zh-CN"/>
        </w:rPr>
        <w:t>5.73</w:t>
      </w:r>
      <w:r>
        <w:rPr>
          <w:rStyle w:val="17"/>
          <w:rFonts w:hint="default" w:ascii="Times New Roman" w:hAnsi="Times New Roman" w:eastAsia="仿宋" w:cs="Times New Roman"/>
          <w:b w:val="0"/>
          <w:bCs/>
          <w:color w:val="000000"/>
          <w:sz w:val="32"/>
          <w:szCs w:val="32"/>
        </w:rPr>
        <w:t>万元，完成预算</w:t>
      </w:r>
      <w:r>
        <w:rPr>
          <w:rStyle w:val="17"/>
          <w:rFonts w:hint="eastAsia" w:eastAsia="仿宋" w:cs="Times New Roman"/>
          <w:b w:val="0"/>
          <w:bCs/>
          <w:color w:val="000000"/>
          <w:sz w:val="32"/>
          <w:szCs w:val="32"/>
          <w:lang w:val="en-US" w:eastAsia="zh-CN"/>
        </w:rPr>
        <w:t>100</w:t>
      </w:r>
      <w:r>
        <w:rPr>
          <w:rStyle w:val="17"/>
          <w:rFonts w:hint="default" w:ascii="Times New Roman" w:hAnsi="Times New Roman" w:eastAsia="仿宋" w:cs="Times New Roman"/>
          <w:b w:val="0"/>
          <w:bCs/>
          <w:color w:val="000000"/>
          <w:sz w:val="32"/>
          <w:szCs w:val="32"/>
        </w:rPr>
        <w:t>%，决算数等于预算数。</w:t>
      </w:r>
    </w:p>
    <w:p w14:paraId="4F7F4FF1">
      <w:pPr>
        <w:wordWrap/>
        <w:spacing w:line="590" w:lineRule="exact"/>
        <w:ind w:firstLine="643" w:firstLineChars="200"/>
        <w:textAlignment w:val="auto"/>
        <w:rPr>
          <w:rFonts w:hint="eastAsia"/>
          <w:b w:val="0"/>
          <w:bCs/>
        </w:rPr>
      </w:pPr>
      <w:r>
        <w:rPr>
          <w:rStyle w:val="17"/>
          <w:rFonts w:hint="eastAsia" w:ascii="仿宋" w:hAnsi="仿宋" w:eastAsia="仿宋"/>
          <w:b/>
          <w:bCs w:val="0"/>
          <w:color w:val="000000"/>
          <w:sz w:val="32"/>
          <w:szCs w:val="32"/>
          <w:lang w:val="en-US" w:eastAsia="zh-CN"/>
        </w:rPr>
        <w:t>4</w:t>
      </w:r>
      <w:r>
        <w:rPr>
          <w:rStyle w:val="17"/>
          <w:rFonts w:hint="eastAsia" w:ascii="仿宋" w:hAnsi="仿宋" w:eastAsia="仿宋"/>
          <w:b/>
          <w:bCs w:val="0"/>
          <w:color w:val="000000"/>
          <w:sz w:val="32"/>
          <w:szCs w:val="32"/>
        </w:rPr>
        <w:t>.卫生健康支出（类）计划生育事务（款）其他计划生育事务支出（项）：</w:t>
      </w:r>
      <w:r>
        <w:rPr>
          <w:rStyle w:val="17"/>
          <w:rFonts w:hint="default" w:ascii="Times New Roman" w:hAnsi="Times New Roman" w:eastAsia="仿宋" w:cs="Times New Roman"/>
          <w:b w:val="0"/>
          <w:bCs/>
          <w:color w:val="000000"/>
          <w:sz w:val="32"/>
          <w:szCs w:val="32"/>
        </w:rPr>
        <w:t>支出决算为</w:t>
      </w:r>
      <w:r>
        <w:rPr>
          <w:rStyle w:val="17"/>
          <w:rFonts w:hint="eastAsia" w:eastAsia="仿宋" w:cs="Times New Roman"/>
          <w:b w:val="0"/>
          <w:bCs/>
          <w:color w:val="000000"/>
          <w:sz w:val="32"/>
          <w:szCs w:val="32"/>
          <w:lang w:val="en-US" w:eastAsia="zh-CN"/>
        </w:rPr>
        <w:t>0.05</w:t>
      </w:r>
      <w:r>
        <w:rPr>
          <w:rStyle w:val="17"/>
          <w:rFonts w:hint="default" w:ascii="Times New Roman" w:hAnsi="Times New Roman" w:eastAsia="仿宋" w:cs="Times New Roman"/>
          <w:b w:val="0"/>
          <w:bCs/>
          <w:color w:val="000000"/>
          <w:sz w:val="32"/>
          <w:szCs w:val="32"/>
        </w:rPr>
        <w:t>万元，完成预算</w:t>
      </w:r>
      <w:r>
        <w:rPr>
          <w:rStyle w:val="17"/>
          <w:rFonts w:hint="eastAsia" w:eastAsia="仿宋" w:cs="Times New Roman"/>
          <w:b w:val="0"/>
          <w:bCs/>
          <w:color w:val="000000"/>
          <w:sz w:val="32"/>
          <w:szCs w:val="32"/>
          <w:lang w:val="en-US" w:eastAsia="zh-CN"/>
        </w:rPr>
        <w:t>100</w:t>
      </w:r>
      <w:r>
        <w:rPr>
          <w:rStyle w:val="17"/>
          <w:rFonts w:hint="default" w:ascii="Times New Roman" w:hAnsi="Times New Roman" w:eastAsia="仿宋" w:cs="Times New Roman"/>
          <w:b w:val="0"/>
          <w:bCs/>
          <w:color w:val="000000"/>
          <w:sz w:val="32"/>
          <w:szCs w:val="32"/>
        </w:rPr>
        <w:t>%，决算数等于预算数。</w:t>
      </w:r>
    </w:p>
    <w:p w14:paraId="36C10ED4">
      <w:pPr>
        <w:wordWrap/>
        <w:spacing w:line="590" w:lineRule="exact"/>
        <w:ind w:firstLine="643" w:firstLineChars="200"/>
        <w:textAlignment w:val="auto"/>
        <w:rPr>
          <w:rStyle w:val="17"/>
          <w:rFonts w:hint="default" w:ascii="Times New Roman" w:hAnsi="Times New Roman" w:eastAsia="仿宋" w:cs="Times New Roman"/>
          <w:b w:val="0"/>
          <w:bCs/>
          <w:color w:val="000000"/>
          <w:sz w:val="32"/>
          <w:szCs w:val="32"/>
        </w:rPr>
      </w:pPr>
      <w:r>
        <w:rPr>
          <w:rFonts w:hint="eastAsia" w:ascii="仿宋" w:hAnsi="仿宋" w:eastAsia="仿宋" w:cs="仿宋"/>
          <w:b/>
          <w:bCs/>
          <w:sz w:val="32"/>
          <w:szCs w:val="32"/>
          <w:lang w:val="en-US" w:eastAsia="zh-CN"/>
        </w:rPr>
        <w:t>5.</w:t>
      </w:r>
      <w:r>
        <w:rPr>
          <w:rStyle w:val="17"/>
          <w:rFonts w:hint="eastAsia" w:ascii="仿宋" w:hAnsi="仿宋" w:eastAsia="仿宋"/>
          <w:b/>
          <w:bCs/>
          <w:color w:val="000000"/>
          <w:sz w:val="32"/>
          <w:szCs w:val="32"/>
        </w:rPr>
        <w:t>卫生健康支出（类）行政事业单位医疗（款）事业单位医疗（项）</w:t>
      </w:r>
      <w:r>
        <w:rPr>
          <w:rStyle w:val="17"/>
          <w:rFonts w:hint="eastAsia" w:ascii="仿宋" w:hAnsi="仿宋" w:eastAsia="仿宋"/>
          <w:b w:val="0"/>
          <w:bCs/>
          <w:color w:val="000000"/>
          <w:sz w:val="32"/>
          <w:szCs w:val="32"/>
        </w:rPr>
        <w:t>：</w:t>
      </w:r>
      <w:r>
        <w:rPr>
          <w:rStyle w:val="17"/>
          <w:rFonts w:hint="default" w:ascii="Times New Roman" w:hAnsi="Times New Roman" w:eastAsia="仿宋" w:cs="Times New Roman"/>
          <w:b w:val="0"/>
          <w:bCs/>
          <w:color w:val="000000"/>
          <w:sz w:val="32"/>
          <w:szCs w:val="32"/>
        </w:rPr>
        <w:t>支出决算为</w:t>
      </w:r>
      <w:r>
        <w:rPr>
          <w:rStyle w:val="17"/>
          <w:rFonts w:hint="eastAsia" w:eastAsia="仿宋" w:cs="Times New Roman"/>
          <w:b w:val="0"/>
          <w:bCs/>
          <w:color w:val="000000"/>
          <w:sz w:val="32"/>
          <w:szCs w:val="32"/>
          <w:lang w:val="en-US" w:eastAsia="zh-CN"/>
        </w:rPr>
        <w:t>5.56</w:t>
      </w:r>
      <w:r>
        <w:rPr>
          <w:rStyle w:val="17"/>
          <w:rFonts w:hint="default" w:ascii="Times New Roman" w:hAnsi="Times New Roman" w:eastAsia="仿宋" w:cs="Times New Roman"/>
          <w:b w:val="0"/>
          <w:bCs/>
          <w:color w:val="000000"/>
          <w:sz w:val="32"/>
          <w:szCs w:val="32"/>
        </w:rPr>
        <w:t>万元，完成预算</w:t>
      </w:r>
      <w:r>
        <w:rPr>
          <w:rStyle w:val="17"/>
          <w:rFonts w:hint="eastAsia" w:eastAsia="仿宋" w:cs="Times New Roman"/>
          <w:b w:val="0"/>
          <w:bCs/>
          <w:color w:val="000000"/>
          <w:sz w:val="32"/>
          <w:szCs w:val="32"/>
          <w:lang w:val="en-US" w:eastAsia="zh-CN"/>
        </w:rPr>
        <w:t>100</w:t>
      </w:r>
      <w:r>
        <w:rPr>
          <w:rStyle w:val="17"/>
          <w:rFonts w:hint="default" w:ascii="Times New Roman" w:hAnsi="Times New Roman" w:eastAsia="仿宋" w:cs="Times New Roman"/>
          <w:b w:val="0"/>
          <w:bCs/>
          <w:color w:val="000000"/>
          <w:sz w:val="32"/>
          <w:szCs w:val="32"/>
        </w:rPr>
        <w:t>%，决算数等于预算数。</w:t>
      </w:r>
    </w:p>
    <w:p w14:paraId="05C504D3">
      <w:pPr>
        <w:wordWrap/>
        <w:spacing w:line="590" w:lineRule="exact"/>
        <w:ind w:firstLine="643" w:firstLineChars="200"/>
        <w:textAlignment w:val="auto"/>
        <w:rPr>
          <w:rStyle w:val="17"/>
          <w:rFonts w:hint="eastAsia" w:ascii="仿宋" w:hAnsi="仿宋" w:eastAsia="仿宋"/>
          <w:b w:val="0"/>
          <w:bCs/>
          <w:color w:val="000000"/>
          <w:sz w:val="32"/>
          <w:szCs w:val="32"/>
        </w:rPr>
      </w:pPr>
      <w:r>
        <w:rPr>
          <w:rFonts w:hint="eastAsia" w:ascii="仿宋" w:hAnsi="仿宋" w:eastAsia="仿宋" w:cs="仿宋"/>
          <w:b/>
          <w:bCs/>
          <w:sz w:val="32"/>
          <w:szCs w:val="32"/>
          <w:lang w:val="en-US" w:eastAsia="zh-CN"/>
        </w:rPr>
        <w:t>6.</w:t>
      </w:r>
      <w:r>
        <w:rPr>
          <w:rStyle w:val="17"/>
          <w:rFonts w:hint="eastAsia" w:ascii="仿宋" w:hAnsi="仿宋" w:eastAsia="仿宋"/>
          <w:b/>
          <w:bCs/>
          <w:color w:val="000000"/>
          <w:sz w:val="32"/>
          <w:szCs w:val="32"/>
        </w:rPr>
        <w:t>卫生健康支出（类）行政事业单位医疗（款）其他行政事业单位医疗支出（项）</w:t>
      </w:r>
      <w:r>
        <w:rPr>
          <w:rStyle w:val="17"/>
          <w:rFonts w:hint="eastAsia" w:ascii="仿宋" w:hAnsi="仿宋" w:eastAsia="仿宋"/>
          <w:b w:val="0"/>
          <w:bCs/>
          <w:color w:val="000000"/>
          <w:sz w:val="32"/>
          <w:szCs w:val="32"/>
        </w:rPr>
        <w:t>：</w:t>
      </w:r>
      <w:r>
        <w:rPr>
          <w:rStyle w:val="17"/>
          <w:rFonts w:hint="default" w:ascii="Times New Roman" w:hAnsi="Times New Roman" w:eastAsia="仿宋" w:cs="Times New Roman"/>
          <w:b w:val="0"/>
          <w:bCs/>
          <w:color w:val="000000"/>
          <w:sz w:val="32"/>
          <w:szCs w:val="32"/>
        </w:rPr>
        <w:t>支出决算为</w:t>
      </w:r>
      <w:r>
        <w:rPr>
          <w:rStyle w:val="17"/>
          <w:rFonts w:hint="eastAsia" w:eastAsia="仿宋" w:cs="Times New Roman"/>
          <w:b w:val="0"/>
          <w:bCs/>
          <w:color w:val="000000"/>
          <w:sz w:val="32"/>
          <w:szCs w:val="32"/>
          <w:lang w:val="en-US" w:eastAsia="zh-CN"/>
        </w:rPr>
        <w:t>0.64</w:t>
      </w:r>
      <w:r>
        <w:rPr>
          <w:rStyle w:val="17"/>
          <w:rFonts w:hint="default" w:ascii="Times New Roman" w:hAnsi="Times New Roman" w:eastAsia="仿宋" w:cs="Times New Roman"/>
          <w:b w:val="0"/>
          <w:bCs/>
          <w:color w:val="000000"/>
          <w:sz w:val="32"/>
          <w:szCs w:val="32"/>
        </w:rPr>
        <w:t>万元，完成预算</w:t>
      </w:r>
      <w:r>
        <w:rPr>
          <w:rStyle w:val="17"/>
          <w:rFonts w:hint="eastAsia" w:eastAsia="仿宋" w:cs="Times New Roman"/>
          <w:b w:val="0"/>
          <w:bCs/>
          <w:color w:val="000000"/>
          <w:sz w:val="32"/>
          <w:szCs w:val="32"/>
          <w:lang w:val="en-US" w:eastAsia="zh-CN"/>
        </w:rPr>
        <w:t>100</w:t>
      </w:r>
      <w:r>
        <w:rPr>
          <w:rStyle w:val="17"/>
          <w:rFonts w:hint="default" w:ascii="Times New Roman" w:hAnsi="Times New Roman" w:eastAsia="仿宋" w:cs="Times New Roman"/>
          <w:b w:val="0"/>
          <w:bCs/>
          <w:color w:val="000000"/>
          <w:sz w:val="32"/>
          <w:szCs w:val="32"/>
        </w:rPr>
        <w:t>%，决算数等于预算数。</w:t>
      </w:r>
    </w:p>
    <w:p w14:paraId="25214D35">
      <w:pPr>
        <w:pStyle w:val="5"/>
        <w:rPr>
          <w:rFonts w:hint="eastAsia"/>
        </w:rPr>
      </w:pPr>
    </w:p>
    <w:p w14:paraId="54D4242E">
      <w:pPr>
        <w:wordWrap/>
        <w:spacing w:line="590" w:lineRule="exact"/>
        <w:ind w:firstLine="643" w:firstLineChars="200"/>
        <w:textAlignment w:val="auto"/>
        <w:rPr>
          <w:rStyle w:val="17"/>
          <w:rFonts w:ascii="仿宋" w:hAnsi="仿宋" w:eastAsia="仿宋"/>
          <w:b w:val="0"/>
          <w:bCs/>
          <w:color w:val="000000"/>
          <w:sz w:val="32"/>
          <w:szCs w:val="32"/>
        </w:rPr>
      </w:pPr>
      <w:r>
        <w:rPr>
          <w:rStyle w:val="17"/>
          <w:rFonts w:hint="eastAsia" w:ascii="仿宋" w:hAnsi="仿宋" w:eastAsia="仿宋"/>
          <w:b/>
          <w:bCs w:val="0"/>
          <w:color w:val="000000"/>
          <w:sz w:val="32"/>
          <w:szCs w:val="32"/>
          <w:lang w:val="en-US" w:eastAsia="zh-CN"/>
        </w:rPr>
        <w:t>7.</w:t>
      </w:r>
      <w:r>
        <w:rPr>
          <w:rStyle w:val="17"/>
          <w:rFonts w:hint="eastAsia" w:ascii="仿宋" w:hAnsi="仿宋" w:eastAsia="仿宋"/>
          <w:b/>
          <w:bCs w:val="0"/>
          <w:color w:val="000000"/>
          <w:sz w:val="32"/>
          <w:szCs w:val="32"/>
        </w:rPr>
        <w:t>自然资源海洋气象等支出（类）自然资源事务（款）事业运行（项）</w:t>
      </w:r>
      <w:r>
        <w:rPr>
          <w:rStyle w:val="17"/>
          <w:rFonts w:hint="eastAsia" w:ascii="仿宋" w:hAnsi="仿宋" w:eastAsia="仿宋"/>
          <w:b w:val="0"/>
          <w:bCs/>
          <w:color w:val="000000"/>
          <w:sz w:val="32"/>
          <w:szCs w:val="32"/>
        </w:rPr>
        <w:t>:</w:t>
      </w:r>
      <w:r>
        <w:rPr>
          <w:rStyle w:val="17"/>
          <w:rFonts w:hint="default" w:ascii="Times New Roman" w:hAnsi="Times New Roman" w:eastAsia="仿宋" w:cs="Times New Roman"/>
          <w:b w:val="0"/>
          <w:bCs/>
          <w:color w:val="000000"/>
          <w:sz w:val="32"/>
          <w:szCs w:val="32"/>
        </w:rPr>
        <w:t>支出决算为</w:t>
      </w:r>
      <w:r>
        <w:rPr>
          <w:rStyle w:val="17"/>
          <w:rFonts w:hint="eastAsia" w:eastAsia="仿宋" w:cs="Times New Roman"/>
          <w:b w:val="0"/>
          <w:bCs/>
          <w:color w:val="000000"/>
          <w:sz w:val="32"/>
          <w:szCs w:val="32"/>
          <w:lang w:val="en-US" w:eastAsia="zh-CN"/>
        </w:rPr>
        <w:t>163.8</w:t>
      </w:r>
      <w:r>
        <w:rPr>
          <w:rStyle w:val="17"/>
          <w:rFonts w:hint="default" w:ascii="Times New Roman" w:hAnsi="Times New Roman" w:eastAsia="仿宋" w:cs="Times New Roman"/>
          <w:b w:val="0"/>
          <w:bCs/>
          <w:color w:val="000000"/>
          <w:sz w:val="32"/>
          <w:szCs w:val="32"/>
        </w:rPr>
        <w:t>万元，完成预算</w:t>
      </w:r>
      <w:r>
        <w:rPr>
          <w:rStyle w:val="17"/>
          <w:rFonts w:hint="eastAsia" w:eastAsia="仿宋" w:cs="Times New Roman"/>
          <w:b w:val="0"/>
          <w:bCs/>
          <w:color w:val="000000"/>
          <w:sz w:val="32"/>
          <w:szCs w:val="32"/>
          <w:lang w:val="en-US" w:eastAsia="zh-CN"/>
        </w:rPr>
        <w:t>100</w:t>
      </w:r>
      <w:r>
        <w:rPr>
          <w:rStyle w:val="17"/>
          <w:rFonts w:hint="default" w:ascii="Times New Roman" w:hAnsi="Times New Roman" w:eastAsia="仿宋" w:cs="Times New Roman"/>
          <w:b w:val="0"/>
          <w:bCs/>
          <w:color w:val="000000"/>
          <w:sz w:val="32"/>
          <w:szCs w:val="32"/>
        </w:rPr>
        <w:t>%，决算数等于预算数。</w:t>
      </w:r>
    </w:p>
    <w:p w14:paraId="0052004F">
      <w:pPr>
        <w:spacing w:line="600" w:lineRule="exact"/>
        <w:ind w:firstLine="640"/>
        <w:rPr>
          <w:rFonts w:ascii="仿宋" w:hAnsi="仿宋" w:eastAsia="仿宋"/>
          <w:b/>
          <w:color w:val="auto"/>
          <w:sz w:val="32"/>
          <w:szCs w:val="32"/>
          <w:highlight w:val="none"/>
        </w:rPr>
      </w:pPr>
      <w:r>
        <w:rPr>
          <w:rStyle w:val="17"/>
          <w:rFonts w:hint="eastAsia" w:ascii="仿宋" w:hAnsi="仿宋" w:eastAsia="仿宋"/>
          <w:b/>
          <w:bCs w:val="0"/>
          <w:color w:val="000000"/>
          <w:sz w:val="32"/>
          <w:szCs w:val="32"/>
          <w:lang w:val="en-US" w:eastAsia="zh-CN"/>
        </w:rPr>
        <w:t>8</w:t>
      </w:r>
      <w:r>
        <w:rPr>
          <w:rStyle w:val="17"/>
          <w:rFonts w:hint="eastAsia" w:ascii="仿宋" w:hAnsi="仿宋" w:eastAsia="仿宋"/>
          <w:b/>
          <w:bCs w:val="0"/>
          <w:color w:val="000000"/>
          <w:sz w:val="32"/>
          <w:szCs w:val="32"/>
        </w:rPr>
        <w:t>.住房保障支出（类）住房改革支出（款）住房公积金（项）</w:t>
      </w:r>
      <w:r>
        <w:rPr>
          <w:rStyle w:val="17"/>
          <w:rFonts w:hint="eastAsia" w:ascii="仿宋" w:hAnsi="仿宋" w:eastAsia="仿宋"/>
          <w:b w:val="0"/>
          <w:bCs/>
          <w:color w:val="000000"/>
          <w:sz w:val="32"/>
          <w:szCs w:val="32"/>
        </w:rPr>
        <w:t>：</w:t>
      </w:r>
      <w:r>
        <w:rPr>
          <w:rStyle w:val="17"/>
          <w:rFonts w:hint="default" w:ascii="Times New Roman" w:hAnsi="Times New Roman" w:eastAsia="仿宋" w:cs="Times New Roman"/>
          <w:b w:val="0"/>
          <w:bCs/>
          <w:color w:val="000000"/>
          <w:sz w:val="32"/>
          <w:szCs w:val="32"/>
        </w:rPr>
        <w:t>支出决算为</w:t>
      </w:r>
      <w:r>
        <w:rPr>
          <w:rStyle w:val="17"/>
          <w:rFonts w:hint="eastAsia" w:eastAsia="仿宋" w:cs="Times New Roman"/>
          <w:b w:val="0"/>
          <w:bCs/>
          <w:color w:val="000000"/>
          <w:sz w:val="32"/>
          <w:szCs w:val="32"/>
          <w:lang w:val="en-US" w:eastAsia="zh-CN"/>
        </w:rPr>
        <w:t>14.34</w:t>
      </w:r>
      <w:r>
        <w:rPr>
          <w:rStyle w:val="17"/>
          <w:rFonts w:hint="default" w:ascii="Times New Roman" w:hAnsi="Times New Roman" w:eastAsia="仿宋" w:cs="Times New Roman"/>
          <w:b w:val="0"/>
          <w:bCs/>
          <w:color w:val="000000"/>
          <w:sz w:val="32"/>
          <w:szCs w:val="32"/>
        </w:rPr>
        <w:t>万元，完成预算</w:t>
      </w:r>
      <w:r>
        <w:rPr>
          <w:rStyle w:val="17"/>
          <w:rFonts w:hint="eastAsia" w:eastAsia="仿宋" w:cs="Times New Roman"/>
          <w:b w:val="0"/>
          <w:bCs/>
          <w:color w:val="000000"/>
          <w:sz w:val="32"/>
          <w:szCs w:val="32"/>
          <w:lang w:val="en-US" w:eastAsia="zh-CN"/>
        </w:rPr>
        <w:t>100</w:t>
      </w:r>
      <w:r>
        <w:rPr>
          <w:rStyle w:val="17"/>
          <w:rFonts w:hint="default" w:ascii="Times New Roman" w:hAnsi="Times New Roman" w:eastAsia="仿宋" w:cs="Times New Roman"/>
          <w:b w:val="0"/>
          <w:bCs/>
          <w:color w:val="000000"/>
          <w:sz w:val="32"/>
          <w:szCs w:val="32"/>
        </w:rPr>
        <w:t>%，决算数等于预算数。</w:t>
      </w:r>
    </w:p>
    <w:p w14:paraId="7EBF259E">
      <w:pPr>
        <w:spacing w:line="600" w:lineRule="exact"/>
        <w:ind w:firstLine="640"/>
        <w:rPr>
          <w:rFonts w:hint="default" w:ascii="Times New Roman" w:hAnsi="Times New Roman" w:eastAsia="仿宋" w:cs="Times New Roman"/>
          <w:b/>
          <w:color w:val="000000"/>
          <w:sz w:val="32"/>
          <w:szCs w:val="32"/>
        </w:rPr>
      </w:pPr>
    </w:p>
    <w:p w14:paraId="5AA11A8E">
      <w:pPr>
        <w:tabs>
          <w:tab w:val="right" w:pos="8306"/>
        </w:tabs>
        <w:spacing w:line="600" w:lineRule="exact"/>
        <w:ind w:firstLine="640"/>
        <w:outlineLvl w:val="1"/>
        <w:rPr>
          <w:rStyle w:val="32"/>
          <w:rFonts w:hint="default" w:ascii="Times New Roman" w:hAnsi="Times New Roman" w:cs="Times New Roman"/>
        </w:rPr>
      </w:pPr>
      <w:bookmarkStart w:id="40" w:name="_Toc15377214"/>
      <w:bookmarkStart w:id="41" w:name="_Toc15396608"/>
      <w:r>
        <w:rPr>
          <w:rFonts w:hint="default" w:ascii="Times New Roman" w:hAnsi="Times New Roman" w:eastAsia="黑体" w:cs="Times New Roman"/>
          <w:color w:val="000000"/>
          <w:sz w:val="32"/>
          <w:szCs w:val="32"/>
        </w:rPr>
        <w:t>六</w:t>
      </w:r>
      <w:r>
        <w:rPr>
          <w:rFonts w:hint="default" w:ascii="Times New Roman" w:hAnsi="Times New Roman" w:eastAsia="黑体" w:cs="Times New Roman"/>
          <w:b/>
          <w:color w:val="000000"/>
          <w:sz w:val="32"/>
          <w:szCs w:val="32"/>
        </w:rPr>
        <w:t>、一</w:t>
      </w:r>
      <w:r>
        <w:rPr>
          <w:rStyle w:val="32"/>
          <w:rFonts w:hint="default" w:ascii="Times New Roman" w:hAnsi="Times New Roman" w:eastAsia="黑体" w:cs="Times New Roman"/>
          <w:b w:val="0"/>
        </w:rPr>
        <w:t>般公共预算财政拨款基本支出决算情况说明</w:t>
      </w:r>
      <w:bookmarkEnd w:id="40"/>
      <w:bookmarkEnd w:id="41"/>
      <w:r>
        <w:rPr>
          <w:rStyle w:val="32"/>
          <w:rFonts w:hint="default" w:ascii="Times New Roman" w:hAnsi="Times New Roman" w:eastAsia="黑体" w:cs="Times New Roman"/>
          <w:b w:val="0"/>
        </w:rPr>
        <w:tab/>
      </w:r>
    </w:p>
    <w:p w14:paraId="2D6EC8B9">
      <w:pPr>
        <w:spacing w:line="600" w:lineRule="exact"/>
        <w:ind w:firstLine="645"/>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年一般公共预算财政拨款基本支出209.82万元，其中：</w:t>
      </w:r>
    </w:p>
    <w:p w14:paraId="7435439B">
      <w:pPr>
        <w:spacing w:line="600" w:lineRule="exact"/>
        <w:ind w:firstLine="645"/>
        <w:rPr>
          <w:rFonts w:hint="eastAsia" w:ascii="仿宋" w:hAnsi="仿宋" w:eastAsia="仿宋"/>
          <w:color w:val="auto"/>
          <w:sz w:val="32"/>
          <w:szCs w:val="32"/>
          <w:highlight w:val="none"/>
          <w:lang w:eastAsia="zh-CN"/>
        </w:rPr>
      </w:pPr>
      <w:r>
        <w:rPr>
          <w:rFonts w:hint="default" w:ascii="Times New Roman" w:hAnsi="Times New Roman" w:eastAsia="仿宋" w:cs="Times New Roman"/>
          <w:color w:val="000000"/>
          <w:sz w:val="32"/>
          <w:szCs w:val="32"/>
        </w:rPr>
        <w:t>人员经费189.69万元，主要包括：</w:t>
      </w:r>
      <w:r>
        <w:rPr>
          <w:rFonts w:hint="eastAsia" w:ascii="仿宋" w:hAnsi="仿宋" w:eastAsia="仿宋"/>
          <w:color w:val="auto"/>
          <w:sz w:val="32"/>
          <w:szCs w:val="32"/>
          <w:highlight w:val="none"/>
        </w:rPr>
        <w:t>基本工资、津贴补贴、绩效工资、机关事业单位基本养老保险缴费、职业年金缴费、其他社会保障缴费、生活补助、医疗费补助、奖励金、住房公积金等。</w:t>
      </w:r>
    </w:p>
    <w:p w14:paraId="5C198AE8">
      <w:pPr>
        <w:spacing w:line="600" w:lineRule="exact"/>
        <w:ind w:firstLine="645"/>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日常公用经费20.12万元，主要包括：</w:t>
      </w:r>
      <w:r>
        <w:rPr>
          <w:rFonts w:hint="eastAsia" w:ascii="仿宋" w:hAnsi="仿宋" w:eastAsia="仿宋"/>
          <w:color w:val="auto"/>
          <w:sz w:val="32"/>
          <w:szCs w:val="32"/>
          <w:highlight w:val="none"/>
        </w:rPr>
        <w:t>办公费、印刷费、手续费、水费、电费、邮电费、差旅费、会议费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培训费、</w:t>
      </w:r>
      <w:r>
        <w:rPr>
          <w:rFonts w:hint="eastAsia" w:ascii="仿宋" w:hAnsi="仿宋" w:eastAsia="仿宋"/>
          <w:color w:val="auto"/>
          <w:sz w:val="32"/>
          <w:szCs w:val="32"/>
          <w:highlight w:val="none"/>
        </w:rPr>
        <w:t>维修（护）费、公务接待费、</w:t>
      </w:r>
      <w:r>
        <w:rPr>
          <w:rFonts w:hint="eastAsia" w:ascii="仿宋" w:hAnsi="仿宋" w:eastAsia="仿宋"/>
          <w:color w:val="auto"/>
          <w:sz w:val="32"/>
          <w:szCs w:val="32"/>
          <w:highlight w:val="none"/>
          <w:lang w:val="en-US" w:eastAsia="zh-CN"/>
        </w:rPr>
        <w:t>劳务费</w:t>
      </w:r>
      <w:r>
        <w:rPr>
          <w:rFonts w:hint="eastAsia" w:ascii="仿宋" w:hAnsi="仿宋" w:eastAsia="仿宋"/>
          <w:color w:val="auto"/>
          <w:sz w:val="32"/>
          <w:szCs w:val="32"/>
          <w:highlight w:val="none"/>
        </w:rPr>
        <w:t>等。</w:t>
      </w:r>
    </w:p>
    <w:p w14:paraId="0B71934B">
      <w:pPr>
        <w:pStyle w:val="5"/>
        <w:rPr>
          <w:rFonts w:hint="default" w:ascii="Times New Roman" w:hAnsi="Times New Roman" w:cs="Times New Roman"/>
        </w:rPr>
      </w:pPr>
    </w:p>
    <w:p w14:paraId="557C077F">
      <w:pPr>
        <w:numPr>
          <w:ilvl w:val="0"/>
          <w:numId w:val="2"/>
        </w:numPr>
        <w:spacing w:line="600" w:lineRule="exact"/>
        <w:ind w:firstLine="640"/>
        <w:rPr>
          <w:rStyle w:val="32"/>
          <w:rFonts w:hint="default" w:ascii="Times New Roman" w:hAnsi="Times New Roman" w:eastAsia="黑体" w:cs="Times New Roman"/>
          <w:b w:val="0"/>
          <w:bCs/>
        </w:rPr>
      </w:pPr>
      <w:r>
        <w:rPr>
          <w:rFonts w:hint="default" w:ascii="Times New Roman" w:hAnsi="Times New Roman" w:eastAsia="黑体" w:cs="Times New Roman"/>
          <w:b w:val="0"/>
          <w:bCs/>
          <w:color w:val="000000"/>
          <w:sz w:val="32"/>
          <w:szCs w:val="32"/>
        </w:rPr>
        <w:t>一</w:t>
      </w:r>
      <w:r>
        <w:rPr>
          <w:rStyle w:val="32"/>
          <w:rFonts w:hint="default" w:ascii="Times New Roman" w:hAnsi="Times New Roman" w:eastAsia="黑体" w:cs="Times New Roman"/>
          <w:b w:val="0"/>
          <w:bCs/>
        </w:rPr>
        <w:t>般公共预算财政拨款</w:t>
      </w:r>
      <w:r>
        <w:rPr>
          <w:rStyle w:val="32"/>
          <w:rFonts w:hint="default" w:ascii="Times New Roman" w:hAnsi="Times New Roman" w:eastAsia="黑体" w:cs="Times New Roman"/>
          <w:b w:val="0"/>
          <w:bCs/>
          <w:lang w:eastAsia="zh-CN"/>
        </w:rPr>
        <w:t>项目</w:t>
      </w:r>
      <w:r>
        <w:rPr>
          <w:rStyle w:val="32"/>
          <w:rFonts w:hint="default" w:ascii="Times New Roman" w:hAnsi="Times New Roman" w:eastAsia="黑体" w:cs="Times New Roman"/>
          <w:b w:val="0"/>
          <w:bCs/>
        </w:rPr>
        <w:t>支出决算情况说明</w:t>
      </w:r>
    </w:p>
    <w:p w14:paraId="0DD70701">
      <w:pPr>
        <w:widowControl w:val="0"/>
        <w:numPr>
          <w:ilvl w:val="0"/>
          <w:numId w:val="0"/>
        </w:numPr>
        <w:wordWrap/>
        <w:adjustRightInd/>
        <w:snapToGrid/>
        <w:spacing w:line="600" w:lineRule="exact"/>
        <w:ind w:firstLine="640" w:firstLineChars="200"/>
        <w:textAlignment w:val="auto"/>
        <w:outlineLvl w:val="9"/>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rPr>
        <w:t>20</w:t>
      </w:r>
      <w:r>
        <w:rPr>
          <w:rFonts w:hint="default" w:ascii="Times New Roman" w:hAnsi="Times New Roman" w:eastAsia="仿宋" w:cs="Times New Roman"/>
          <w:color w:val="000000"/>
          <w:sz w:val="32"/>
          <w:szCs w:val="32"/>
          <w:lang w:val="en-US" w:eastAsia="zh-CN"/>
        </w:rPr>
        <w:t>22</w:t>
      </w:r>
      <w:r>
        <w:rPr>
          <w:rFonts w:hint="default" w:ascii="Times New Roman" w:hAnsi="Times New Roman" w:eastAsia="仿宋" w:cs="Times New Roman"/>
          <w:color w:val="000000"/>
          <w:sz w:val="32"/>
          <w:szCs w:val="32"/>
        </w:rPr>
        <w:t>年一般公共预算财政拨款</w:t>
      </w:r>
      <w:r>
        <w:rPr>
          <w:rFonts w:hint="default" w:ascii="Times New Roman" w:hAnsi="Times New Roman" w:eastAsia="仿宋" w:cs="Times New Roman"/>
          <w:color w:val="000000"/>
          <w:sz w:val="32"/>
          <w:szCs w:val="32"/>
          <w:lang w:eastAsia="zh-CN"/>
        </w:rPr>
        <w:t>项目</w:t>
      </w:r>
      <w:r>
        <w:rPr>
          <w:rFonts w:hint="default" w:ascii="Times New Roman" w:hAnsi="Times New Roman" w:eastAsia="仿宋" w:cs="Times New Roman"/>
          <w:color w:val="000000"/>
          <w:sz w:val="32"/>
          <w:szCs w:val="32"/>
        </w:rPr>
        <w:t>支出</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w:t>
      </w:r>
      <w:r>
        <w:rPr>
          <w:rFonts w:hint="default" w:ascii="Times New Roman" w:hAnsi="Times New Roman" w:eastAsia="仿宋" w:cs="Times New Roman"/>
          <w:color w:val="000000"/>
          <w:sz w:val="32"/>
          <w:szCs w:val="32"/>
          <w:lang w:eastAsia="zh-CN"/>
        </w:rPr>
        <w:t>。</w:t>
      </w:r>
    </w:p>
    <w:p w14:paraId="22810E4A">
      <w:pPr>
        <w:pStyle w:val="5"/>
        <w:rPr>
          <w:rFonts w:hint="default" w:ascii="Times New Roman" w:hAnsi="Times New Roman" w:cs="Times New Roman"/>
        </w:rPr>
      </w:pPr>
      <w:bookmarkStart w:id="42" w:name="_Toc15396609"/>
      <w:bookmarkStart w:id="43" w:name="_Toc15377215"/>
    </w:p>
    <w:p w14:paraId="3EB708BC">
      <w:pPr>
        <w:spacing w:line="600" w:lineRule="exact"/>
        <w:ind w:firstLine="640"/>
        <w:outlineLvl w:val="1"/>
        <w:rPr>
          <w:rStyle w:val="32"/>
          <w:rFonts w:hint="default" w:ascii="Times New Roman" w:hAnsi="Times New Roman" w:eastAsia="黑体" w:cs="Times New Roman"/>
          <w:b w:val="0"/>
        </w:rPr>
      </w:pPr>
      <w:r>
        <w:rPr>
          <w:rFonts w:hint="default" w:ascii="Times New Roman" w:hAnsi="Times New Roman" w:eastAsia="黑体" w:cs="Times New Roman"/>
          <w:color w:val="000000"/>
          <w:sz w:val="32"/>
          <w:szCs w:val="32"/>
          <w:lang w:eastAsia="zh-CN"/>
        </w:rPr>
        <w:t>八</w:t>
      </w:r>
      <w:r>
        <w:rPr>
          <w:rFonts w:hint="default" w:ascii="Times New Roman" w:hAnsi="Times New Roman" w:eastAsia="黑体" w:cs="Times New Roman"/>
          <w:color w:val="000000"/>
          <w:sz w:val="32"/>
          <w:szCs w:val="32"/>
        </w:rPr>
        <w:t>、</w:t>
      </w:r>
      <w:r>
        <w:rPr>
          <w:rStyle w:val="32"/>
          <w:rFonts w:hint="default" w:ascii="Times New Roman" w:hAnsi="Times New Roman" w:eastAsia="黑体" w:cs="Times New Roman"/>
        </w:rPr>
        <w:t>“</w:t>
      </w:r>
      <w:r>
        <w:rPr>
          <w:rStyle w:val="32"/>
          <w:rFonts w:hint="default" w:ascii="Times New Roman" w:hAnsi="Times New Roman" w:eastAsia="黑体" w:cs="Times New Roman"/>
          <w:b w:val="0"/>
        </w:rPr>
        <w:t>三公”经费财政拨款支出决算情况说明</w:t>
      </w:r>
      <w:bookmarkEnd w:id="42"/>
      <w:bookmarkEnd w:id="43"/>
    </w:p>
    <w:p w14:paraId="28A56780">
      <w:pPr>
        <w:spacing w:line="600" w:lineRule="exact"/>
        <w:ind w:firstLine="640"/>
        <w:outlineLvl w:val="2"/>
        <w:rPr>
          <w:rFonts w:hint="default" w:ascii="Times New Roman" w:hAnsi="Times New Roman" w:eastAsia="仿宋" w:cs="Times New Roman"/>
          <w:b/>
          <w:color w:val="000000"/>
          <w:sz w:val="32"/>
          <w:szCs w:val="32"/>
        </w:rPr>
      </w:pPr>
      <w:bookmarkStart w:id="44" w:name="_Toc15377216"/>
      <w:bookmarkStart w:id="45" w:name="_Toc15396610"/>
      <w:bookmarkStart w:id="46" w:name="_Toc15377218"/>
      <w:r>
        <w:rPr>
          <w:rFonts w:hint="default" w:ascii="Times New Roman" w:hAnsi="Times New Roman" w:eastAsia="仿宋" w:cs="Times New Roman"/>
          <w:b/>
          <w:color w:val="000000"/>
          <w:sz w:val="32"/>
          <w:szCs w:val="32"/>
        </w:rPr>
        <w:t>（一）“三公”经费财政拨款支出决算总体情况说明</w:t>
      </w:r>
      <w:bookmarkEnd w:id="44"/>
    </w:p>
    <w:p w14:paraId="5B7F9E7D">
      <w:pPr>
        <w:spacing w:line="600" w:lineRule="exact"/>
        <w:ind w:firstLine="640"/>
        <w:rPr>
          <w:rFonts w:hint="default" w:ascii="Times New Roman" w:hAnsi="Times New Roman" w:eastAsia="仿宋" w:cs="Times New Roman"/>
          <w:b/>
          <w:color w:val="FF0000"/>
          <w:sz w:val="32"/>
          <w:szCs w:val="32"/>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年“三公”经费财政拨款支出决算为0.26万元，完成预算</w:t>
      </w:r>
      <w:r>
        <w:rPr>
          <w:rFonts w:hint="eastAsia" w:ascii="Times New Roman" w:hAnsi="Times New Roman" w:eastAsia="仿宋" w:cs="Times New Roman"/>
          <w:color w:val="000000"/>
          <w:sz w:val="32"/>
          <w:szCs w:val="32"/>
          <w:lang w:val="en-US" w:eastAsia="zh-CN"/>
        </w:rPr>
        <w:t>26</w:t>
      </w:r>
      <w:r>
        <w:rPr>
          <w:rFonts w:hint="default" w:ascii="Times New Roman" w:hAnsi="Times New Roman" w:eastAsia="仿宋" w:cs="Times New Roman"/>
          <w:color w:val="000000"/>
          <w:sz w:val="32"/>
          <w:szCs w:val="32"/>
        </w:rPr>
        <w:t>%，比20</w:t>
      </w:r>
      <w:r>
        <w:rPr>
          <w:rFonts w:hint="default" w:ascii="Times New Roman" w:hAnsi="Times New Roman" w:eastAsia="仿宋" w:cs="Times New Roman"/>
          <w:color w:val="000000"/>
          <w:sz w:val="32"/>
          <w:szCs w:val="32"/>
          <w:lang w:val="en-US" w:eastAsia="zh-CN"/>
        </w:rPr>
        <w:t>21</w:t>
      </w:r>
      <w:r>
        <w:rPr>
          <w:rFonts w:hint="default" w:ascii="Times New Roman" w:hAnsi="Times New Roman" w:eastAsia="仿宋" w:cs="Times New Roman"/>
          <w:color w:val="000000"/>
          <w:sz w:val="32"/>
          <w:szCs w:val="32"/>
        </w:rPr>
        <w:t>年减少</w:t>
      </w:r>
      <w:r>
        <w:rPr>
          <w:rFonts w:hint="eastAsia" w:ascii="Times New Roman" w:hAnsi="Times New Roman" w:eastAsia="仿宋" w:cs="Times New Roman"/>
          <w:color w:val="000000"/>
          <w:sz w:val="32"/>
          <w:szCs w:val="32"/>
          <w:lang w:val="en-US" w:eastAsia="zh-CN"/>
        </w:rPr>
        <w:t>0.02</w:t>
      </w:r>
      <w:r>
        <w:rPr>
          <w:rFonts w:hint="default" w:ascii="Times New Roman" w:hAnsi="Times New Roman" w:eastAsia="仿宋" w:cs="Times New Roman"/>
          <w:color w:val="000000"/>
          <w:sz w:val="32"/>
          <w:szCs w:val="32"/>
        </w:rPr>
        <w:t>万元，下降</w:t>
      </w:r>
      <w:r>
        <w:rPr>
          <w:rFonts w:hint="eastAsia" w:ascii="Times New Roman" w:hAnsi="Times New Roman" w:eastAsia="仿宋" w:cs="Times New Roman"/>
          <w:color w:val="000000"/>
          <w:sz w:val="32"/>
          <w:szCs w:val="32"/>
          <w:lang w:val="en-US" w:eastAsia="zh-CN"/>
        </w:rPr>
        <w:t>7.14</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主要原因是</w:t>
      </w:r>
      <w:r>
        <w:rPr>
          <w:rFonts w:hint="eastAsia" w:ascii="Times New Roman" w:hAnsi="Times New Roman" w:eastAsia="仿宋" w:cs="Times New Roman"/>
          <w:color w:val="000000"/>
          <w:sz w:val="32"/>
          <w:szCs w:val="32"/>
          <w:lang w:val="en-US" w:eastAsia="zh-CN"/>
        </w:rPr>
        <w:t>厉行节俭</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决算数小于预算数的主要原因是</w:t>
      </w:r>
      <w:r>
        <w:rPr>
          <w:rFonts w:hint="eastAsia" w:ascii="仿宋" w:hAnsi="仿宋" w:eastAsia="仿宋"/>
          <w:color w:val="auto"/>
          <w:sz w:val="32"/>
          <w:szCs w:val="32"/>
          <w:highlight w:val="none"/>
          <w:lang w:val="en-US" w:eastAsia="zh-CN"/>
        </w:rPr>
        <w:t>厉行节俭</w:t>
      </w:r>
      <w:r>
        <w:rPr>
          <w:rFonts w:hint="default" w:ascii="Times New Roman" w:hAnsi="Times New Roman" w:eastAsia="仿宋" w:cs="Times New Roman"/>
          <w:color w:val="000000"/>
          <w:sz w:val="32"/>
          <w:szCs w:val="32"/>
        </w:rPr>
        <w:t>。</w:t>
      </w:r>
    </w:p>
    <w:p w14:paraId="031FC396">
      <w:pPr>
        <w:spacing w:line="600" w:lineRule="exact"/>
        <w:ind w:firstLine="640"/>
        <w:outlineLvl w:val="2"/>
        <w:rPr>
          <w:rFonts w:hint="default" w:ascii="Times New Roman" w:hAnsi="Times New Roman" w:eastAsia="仿宋" w:cs="Times New Roman"/>
          <w:b/>
          <w:color w:val="000000"/>
          <w:sz w:val="32"/>
          <w:szCs w:val="32"/>
        </w:rPr>
      </w:pPr>
      <w:bookmarkStart w:id="47" w:name="_Toc15377217"/>
      <w:r>
        <w:rPr>
          <w:rFonts w:hint="default" w:ascii="Times New Roman" w:hAnsi="Times New Roman" w:eastAsia="仿宋" w:cs="Times New Roman"/>
          <w:b/>
          <w:color w:val="000000"/>
          <w:sz w:val="32"/>
          <w:szCs w:val="32"/>
        </w:rPr>
        <w:t>（二）“三公”经费财政拨款支出决算具体情况说明</w:t>
      </w:r>
      <w:bookmarkEnd w:id="47"/>
    </w:p>
    <w:p w14:paraId="3A42C5D9">
      <w:pPr>
        <w:spacing w:line="60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年“三公”经费财政</w:t>
      </w:r>
      <w:r>
        <w:rPr>
          <w:rFonts w:hint="default" w:ascii="Times New Roman" w:hAnsi="Times New Roman" w:eastAsia="仿宋" w:cs="Times New Roman"/>
          <w:color w:val="000000"/>
          <w:sz w:val="32"/>
          <w:szCs w:val="32"/>
          <w:lang w:val="en-US" w:eastAsia="zh-CN"/>
        </w:rPr>
        <w:t>拨款支出0.26万元，比2021年减少</w:t>
      </w:r>
      <w:r>
        <w:rPr>
          <w:rFonts w:hint="eastAsia" w:ascii="Times New Roman" w:hAnsi="Times New Roman" w:eastAsia="仿宋" w:cs="Times New Roman"/>
          <w:color w:val="000000"/>
          <w:sz w:val="32"/>
          <w:szCs w:val="32"/>
          <w:lang w:val="en-US" w:eastAsia="zh-CN"/>
        </w:rPr>
        <w:t>0.02</w:t>
      </w:r>
      <w:r>
        <w:rPr>
          <w:rFonts w:hint="default" w:ascii="Times New Roman" w:hAnsi="Times New Roman" w:eastAsia="仿宋" w:cs="Times New Roman"/>
          <w:color w:val="000000"/>
          <w:sz w:val="32"/>
          <w:szCs w:val="32"/>
          <w:lang w:val="en-US" w:eastAsia="zh-CN"/>
        </w:rPr>
        <w:t>万元，下降</w:t>
      </w:r>
      <w:r>
        <w:rPr>
          <w:rFonts w:hint="eastAsia" w:ascii="Times New Roman" w:hAnsi="Times New Roman" w:eastAsia="仿宋" w:cs="Times New Roman"/>
          <w:color w:val="000000"/>
          <w:sz w:val="32"/>
          <w:szCs w:val="32"/>
          <w:lang w:val="en-US" w:eastAsia="zh-CN"/>
        </w:rPr>
        <w:t>7.14</w:t>
      </w:r>
      <w:r>
        <w:rPr>
          <w:rFonts w:hint="default" w:ascii="Times New Roman" w:hAnsi="Times New Roman" w:eastAsia="仿宋" w:cs="Times New Roman"/>
          <w:color w:val="000000"/>
          <w:sz w:val="32"/>
          <w:szCs w:val="32"/>
          <w:lang w:val="en-US" w:eastAsia="zh-CN"/>
        </w:rPr>
        <w:t>%，主要原因是</w:t>
      </w:r>
      <w:r>
        <w:rPr>
          <w:rFonts w:hint="eastAsia" w:ascii="Times New Roman" w:hAnsi="Times New Roman" w:eastAsia="仿宋" w:cs="Times New Roman"/>
          <w:color w:val="000000"/>
          <w:sz w:val="32"/>
          <w:szCs w:val="32"/>
          <w:lang w:val="en-US" w:eastAsia="zh-CN"/>
        </w:rPr>
        <w:t>厉行节俭</w:t>
      </w:r>
      <w:r>
        <w:rPr>
          <w:rFonts w:hint="default" w:ascii="Times New Roman" w:hAnsi="Times New Roman" w:eastAsia="仿宋" w:cs="Times New Roman"/>
          <w:color w:val="000000"/>
          <w:sz w:val="32"/>
          <w:szCs w:val="32"/>
          <w:lang w:val="en-US" w:eastAsia="zh-CN"/>
        </w:rPr>
        <w:t>。其中：因公出国（境）费支出决算</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万元，占</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w:t>
      </w:r>
      <w:r>
        <w:rPr>
          <w:rFonts w:hint="default" w:ascii="Times New Roman" w:hAnsi="Times New Roman" w:eastAsia="仿宋" w:cs="Times New Roman"/>
          <w:color w:val="000000"/>
          <w:sz w:val="32"/>
          <w:szCs w:val="32"/>
        </w:rPr>
        <w:t>公务用车购置及运行维护费支出决算</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%；公务接待费支出决算0.26万元，占</w:t>
      </w:r>
      <w:r>
        <w:rPr>
          <w:rFonts w:hint="eastAsia"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%。具体情况如下：</w:t>
      </w:r>
    </w:p>
    <w:p w14:paraId="32262075">
      <w:pPr>
        <w:pStyle w:val="5"/>
        <w:jc w:val="center"/>
        <w:rPr>
          <w:rFonts w:hint="default"/>
        </w:rPr>
      </w:pPr>
      <w:r>
        <w:rPr>
          <w:rFonts w:ascii="仿宋_GB2312" w:hAnsi="Times New Roman" w:eastAsia="仿宋_GB2312" w:cs="Times New Roman"/>
          <w:kern w:val="0"/>
          <w:sz w:val="30"/>
          <w:szCs w:val="24"/>
          <w:lang w:val="en-US" w:eastAsia="zh-CN" w:bidi="ar-SA"/>
        </w:rPr>
        <w:pict>
          <v:shape id="_x0000_i1032" o:spt="75" type="#_x0000_t75" style="height:172.7pt;width:380pt;" fillcolor="#FFFFFF" filled="f" o:preferrelative="t" stroked="f" coordsize="21600,21600">
            <v:path/>
            <v:fill on="f" color2="#FFFFFF" focussize="0,0"/>
            <v:stroke on="f"/>
            <v:imagedata r:id="rId10" gain="65536f" blacklevel="0f" gamma="0" o:title=""/>
            <o:lock v:ext="edit" position="f" selection="f" grouping="f" rotation="f" cropping="f" text="f" aspectratio="t"/>
            <w10:wrap type="none"/>
            <w10:anchorlock/>
          </v:shape>
        </w:pict>
      </w:r>
    </w:p>
    <w:p w14:paraId="4B6A9A33">
      <w:pPr>
        <w:spacing w:line="60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（图7：“三公”经费财政拨款支出结构）（饼状图）</w:t>
      </w:r>
    </w:p>
    <w:p w14:paraId="4D2DA41E">
      <w:pPr>
        <w:spacing w:line="600" w:lineRule="exact"/>
        <w:ind w:firstLine="64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color w:val="000000"/>
          <w:sz w:val="32"/>
          <w:szCs w:val="32"/>
        </w:rPr>
        <w:t>1.因公出国（境）经费支出</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万元，完成预算</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%。全年安排因公出国（境）团组</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次，出国（境）</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人。因公出国（境）支出决算比2021年增加</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万元，增长</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%，主要原因是</w:t>
      </w:r>
      <w:r>
        <w:rPr>
          <w:rFonts w:hint="eastAsia" w:ascii="Times New Roman" w:hAnsi="Times New Roman" w:eastAsia="仿宋" w:cs="Times New Roman"/>
          <w:color w:val="000000"/>
          <w:sz w:val="32"/>
          <w:szCs w:val="32"/>
          <w:lang w:val="en-US" w:eastAsia="zh-CN"/>
        </w:rPr>
        <w:t>未安排因公出国（境）经费预算</w:t>
      </w:r>
      <w:r>
        <w:rPr>
          <w:rFonts w:hint="default" w:ascii="Times New Roman" w:hAnsi="Times New Roman" w:eastAsia="仿宋" w:cs="Times New Roman"/>
          <w:color w:val="000000"/>
          <w:sz w:val="32"/>
          <w:szCs w:val="32"/>
          <w:lang w:val="en-US" w:eastAsia="zh-CN"/>
        </w:rPr>
        <w:t>。</w:t>
      </w:r>
    </w:p>
    <w:p w14:paraId="51C33D8E">
      <w:pPr>
        <w:spacing w:line="600" w:lineRule="exact"/>
        <w:ind w:firstLine="640"/>
        <w:rPr>
          <w:rFonts w:hint="default" w:ascii="Times New Roman" w:hAnsi="Times New Roman" w:eastAsia="仿宋" w:cs="Times New Roman"/>
          <w:color w:val="000000"/>
          <w:sz w:val="32"/>
          <w:szCs w:val="32"/>
          <w:lang w:val="en-US" w:eastAsia="zh-CN"/>
        </w:rPr>
      </w:pPr>
      <w:r>
        <w:rPr>
          <w:rFonts w:hint="default" w:ascii="Times New Roman" w:hAnsi="Times New Roman" w:eastAsia="仿宋_GB2312" w:cs="Times New Roman"/>
          <w:b/>
          <w:color w:val="000000"/>
          <w:sz w:val="32"/>
          <w:szCs w:val="32"/>
        </w:rPr>
        <w:t>2.公务用车购置及运行维护费支出</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万元,完成预算</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%。公务用车购置及运行维护费支出决算比2021年增加</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万元，增长</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%。主要原因是</w:t>
      </w:r>
      <w:r>
        <w:rPr>
          <w:rFonts w:hint="eastAsia" w:ascii="Times New Roman" w:hAnsi="Times New Roman" w:eastAsia="仿宋" w:cs="Times New Roman"/>
          <w:color w:val="000000"/>
          <w:sz w:val="32"/>
          <w:szCs w:val="32"/>
          <w:lang w:val="en-US" w:eastAsia="zh-CN"/>
        </w:rPr>
        <w:t>未安排公务用车购置及运行维护费预算</w:t>
      </w:r>
      <w:r>
        <w:rPr>
          <w:rFonts w:hint="default" w:ascii="Times New Roman" w:hAnsi="Times New Roman" w:eastAsia="仿宋" w:cs="Times New Roman"/>
          <w:color w:val="000000"/>
          <w:sz w:val="32"/>
          <w:szCs w:val="32"/>
          <w:lang w:val="en-US" w:eastAsia="zh-CN"/>
        </w:rPr>
        <w:t>。</w:t>
      </w:r>
    </w:p>
    <w:p w14:paraId="74401289">
      <w:pPr>
        <w:spacing w:line="600" w:lineRule="exact"/>
        <w:ind w:firstLine="640" w:firstLineChars="200"/>
        <w:rPr>
          <w:rFonts w:hint="default" w:ascii="Times New Roman" w:hAnsi="Times New Roman" w:eastAsia="仿宋" w:cs="Times New Roman"/>
          <w:color w:val="000000"/>
          <w:sz w:val="32"/>
          <w:szCs w:val="32"/>
          <w:lang w:val="en-US" w:eastAsia="zh-CN"/>
        </w:rPr>
      </w:pPr>
      <w:r>
        <w:rPr>
          <w:rFonts w:hint="default" w:ascii="Times New Roman" w:hAnsi="Times New Roman" w:eastAsia="仿宋_GB2312" w:cs="Times New Roman"/>
          <w:color w:val="000000"/>
          <w:sz w:val="32"/>
          <w:szCs w:val="32"/>
        </w:rPr>
        <w:t>其中：</w:t>
      </w:r>
      <w:r>
        <w:rPr>
          <w:rFonts w:hint="default" w:ascii="Times New Roman" w:hAnsi="Times New Roman" w:eastAsia="仿宋_GB2312" w:cs="Times New Roman"/>
          <w:b/>
          <w:color w:val="000000"/>
          <w:sz w:val="32"/>
          <w:szCs w:val="32"/>
        </w:rPr>
        <w:t>公务用车购置支出</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万元，比2021年增加</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万元，增长</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%，主要原因是</w:t>
      </w:r>
      <w:r>
        <w:rPr>
          <w:rFonts w:hint="eastAsia" w:ascii="Times New Roman" w:hAnsi="Times New Roman" w:eastAsia="仿宋" w:cs="Times New Roman"/>
          <w:color w:val="000000"/>
          <w:sz w:val="32"/>
          <w:szCs w:val="32"/>
          <w:lang w:val="en-US" w:eastAsia="zh-CN"/>
        </w:rPr>
        <w:t>未安排公务用车购置及运行维护费预算</w:t>
      </w:r>
      <w:r>
        <w:rPr>
          <w:rFonts w:hint="default" w:ascii="Times New Roman" w:hAnsi="Times New Roman" w:eastAsia="仿宋" w:cs="Times New Roman"/>
          <w:color w:val="000000"/>
          <w:sz w:val="32"/>
          <w:szCs w:val="32"/>
          <w:lang w:val="en-US" w:eastAsia="zh-CN"/>
        </w:rPr>
        <w:t>。全年按规定更新购置公务用车</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辆，其中：轿车</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辆、金额</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万元，越野车</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辆、金额</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万元，载客汽车</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辆、金额</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万元。截至2022年12月底，单位共有公务用车</w:t>
      </w:r>
      <w:r>
        <w:rPr>
          <w:rFonts w:hint="eastAsia"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lang w:val="en-US" w:eastAsia="zh-CN"/>
        </w:rPr>
        <w:t>辆</w:t>
      </w:r>
      <w:r>
        <w:rPr>
          <w:rFonts w:hint="eastAsia" w:ascii="Times New Roman" w:hAnsi="Times New Roman" w:eastAsia="仿宋" w:cs="Times New Roman"/>
          <w:color w:val="000000"/>
          <w:sz w:val="32"/>
          <w:szCs w:val="32"/>
          <w:lang w:val="en-US" w:eastAsia="zh-CN"/>
        </w:rPr>
        <w:t>（已经移交机关事务局，待过户）</w:t>
      </w:r>
      <w:r>
        <w:rPr>
          <w:rFonts w:hint="default" w:ascii="Times New Roman" w:hAnsi="Times New Roman" w:eastAsia="仿宋" w:cs="Times New Roman"/>
          <w:color w:val="000000"/>
          <w:sz w:val="32"/>
          <w:szCs w:val="32"/>
          <w:lang w:val="en-US" w:eastAsia="zh-CN"/>
        </w:rPr>
        <w:t>，其中：轿车</w:t>
      </w:r>
      <w:r>
        <w:rPr>
          <w:rFonts w:hint="eastAsia"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lang w:val="en-US" w:eastAsia="zh-CN"/>
        </w:rPr>
        <w:t>辆、越野车</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辆、载客汽车</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辆。</w:t>
      </w:r>
    </w:p>
    <w:p w14:paraId="592CED3E">
      <w:pPr>
        <w:spacing w:line="600" w:lineRule="exact"/>
        <w:ind w:firstLine="640"/>
        <w:rPr>
          <w:rFonts w:hint="default" w:ascii="Times New Roman" w:hAnsi="Times New Roman" w:eastAsia="仿宋" w:cs="Times New Roman"/>
          <w:color w:val="000000"/>
          <w:sz w:val="32"/>
          <w:szCs w:val="32"/>
          <w:lang w:val="en-US" w:eastAsia="zh-CN"/>
        </w:rPr>
      </w:pPr>
      <w:r>
        <w:rPr>
          <w:rFonts w:hint="default" w:ascii="Times New Roman" w:hAnsi="Times New Roman" w:eastAsia="仿宋_GB2312" w:cs="Times New Roman"/>
          <w:b/>
          <w:color w:val="000000"/>
          <w:sz w:val="32"/>
          <w:szCs w:val="32"/>
        </w:rPr>
        <w:t>公务用车运行维护费支出</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万元，比2021年增加</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万元，增长</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%，主要原因是</w:t>
      </w:r>
      <w:r>
        <w:rPr>
          <w:rFonts w:hint="eastAsia" w:ascii="Times New Roman" w:hAnsi="Times New Roman" w:eastAsia="仿宋" w:cs="Times New Roman"/>
          <w:color w:val="000000"/>
          <w:sz w:val="32"/>
          <w:szCs w:val="32"/>
          <w:lang w:val="en-US" w:eastAsia="zh-CN"/>
        </w:rPr>
        <w:t>未安排公务用车购置及运行维护费预算</w:t>
      </w:r>
      <w:r>
        <w:rPr>
          <w:rFonts w:hint="default" w:ascii="Times New Roman" w:hAnsi="Times New Roman" w:eastAsia="仿宋" w:cs="Times New Roman"/>
          <w:color w:val="000000"/>
          <w:sz w:val="32"/>
          <w:szCs w:val="32"/>
          <w:lang w:val="en-US" w:eastAsia="zh-CN"/>
        </w:rPr>
        <w:t>。</w:t>
      </w:r>
    </w:p>
    <w:p w14:paraId="05A73FE1">
      <w:pPr>
        <w:spacing w:line="600" w:lineRule="exact"/>
        <w:ind w:firstLine="640"/>
        <w:rPr>
          <w:rFonts w:hint="default" w:ascii="Times New Roman" w:hAnsi="Times New Roman" w:eastAsia="仿宋" w:cs="Times New Roman"/>
          <w:color w:val="000000"/>
          <w:sz w:val="32"/>
          <w:szCs w:val="32"/>
          <w:lang w:val="en-US" w:eastAsia="zh-CN"/>
        </w:rPr>
      </w:pPr>
      <w:r>
        <w:rPr>
          <w:rFonts w:hint="default" w:ascii="Times New Roman" w:hAnsi="Times New Roman" w:eastAsia="仿宋_GB2312" w:cs="Times New Roman"/>
          <w:b/>
          <w:color w:val="000000"/>
          <w:sz w:val="32"/>
          <w:szCs w:val="32"/>
        </w:rPr>
        <w:t>3.公务接待费支出</w:t>
      </w:r>
      <w:r>
        <w:rPr>
          <w:rFonts w:hint="default" w:ascii="Times New Roman" w:hAnsi="Times New Roman" w:eastAsia="仿宋" w:cs="Times New Roman"/>
          <w:color w:val="000000"/>
          <w:sz w:val="32"/>
          <w:szCs w:val="32"/>
          <w:lang w:val="en-US" w:eastAsia="zh-CN"/>
        </w:rPr>
        <w:t>0.26万元，完成预算</w:t>
      </w:r>
      <w:r>
        <w:rPr>
          <w:rFonts w:hint="eastAsia" w:ascii="Times New Roman" w:hAnsi="Times New Roman" w:eastAsia="仿宋" w:cs="Times New Roman"/>
          <w:color w:val="000000"/>
          <w:sz w:val="32"/>
          <w:szCs w:val="32"/>
          <w:lang w:val="en-US" w:eastAsia="zh-CN"/>
        </w:rPr>
        <w:t>26</w:t>
      </w:r>
      <w:r>
        <w:rPr>
          <w:rFonts w:hint="default" w:ascii="Times New Roman" w:hAnsi="Times New Roman" w:eastAsia="仿宋" w:cs="Times New Roman"/>
          <w:color w:val="000000"/>
          <w:sz w:val="32"/>
          <w:szCs w:val="32"/>
          <w:lang w:val="en-US" w:eastAsia="zh-CN"/>
        </w:rPr>
        <w:t>%。公务接待费支出决算比2021年减少</w:t>
      </w:r>
      <w:r>
        <w:rPr>
          <w:rFonts w:hint="eastAsia" w:ascii="Times New Roman" w:hAnsi="Times New Roman" w:eastAsia="仿宋" w:cs="Times New Roman"/>
          <w:color w:val="000000"/>
          <w:sz w:val="32"/>
          <w:szCs w:val="32"/>
          <w:lang w:val="en-US" w:eastAsia="zh-CN"/>
        </w:rPr>
        <w:t>0.02</w:t>
      </w:r>
      <w:r>
        <w:rPr>
          <w:rFonts w:hint="default" w:ascii="Times New Roman" w:hAnsi="Times New Roman" w:eastAsia="仿宋" w:cs="Times New Roman"/>
          <w:color w:val="000000"/>
          <w:sz w:val="32"/>
          <w:szCs w:val="32"/>
          <w:lang w:val="en-US" w:eastAsia="zh-CN"/>
        </w:rPr>
        <w:t>万元，下降</w:t>
      </w:r>
      <w:r>
        <w:rPr>
          <w:rFonts w:hint="eastAsia" w:ascii="Times New Roman" w:hAnsi="Times New Roman" w:eastAsia="仿宋" w:cs="Times New Roman"/>
          <w:color w:val="000000"/>
          <w:sz w:val="32"/>
          <w:szCs w:val="32"/>
          <w:lang w:val="en-US" w:eastAsia="zh-CN"/>
        </w:rPr>
        <w:t>7.14</w:t>
      </w:r>
      <w:r>
        <w:rPr>
          <w:rFonts w:hint="default" w:ascii="Times New Roman" w:hAnsi="Times New Roman" w:eastAsia="仿宋" w:cs="Times New Roman"/>
          <w:color w:val="000000"/>
          <w:sz w:val="32"/>
          <w:szCs w:val="32"/>
          <w:lang w:val="en-US" w:eastAsia="zh-CN"/>
        </w:rPr>
        <w:t>%。主要原因是</w:t>
      </w:r>
      <w:r>
        <w:rPr>
          <w:rFonts w:hint="eastAsia" w:ascii="Times New Roman" w:hAnsi="Times New Roman" w:eastAsia="仿宋" w:cs="Times New Roman"/>
          <w:color w:val="000000"/>
          <w:sz w:val="32"/>
          <w:szCs w:val="32"/>
          <w:lang w:val="en-US" w:eastAsia="zh-CN"/>
        </w:rPr>
        <w:t>厉行节俭</w:t>
      </w:r>
      <w:r>
        <w:rPr>
          <w:rFonts w:hint="default" w:ascii="Times New Roman" w:hAnsi="Times New Roman" w:eastAsia="仿宋" w:cs="Times New Roman"/>
          <w:color w:val="000000"/>
          <w:sz w:val="32"/>
          <w:szCs w:val="32"/>
          <w:lang w:val="en-US" w:eastAsia="zh-CN"/>
        </w:rPr>
        <w:t>。其中：</w:t>
      </w:r>
    </w:p>
    <w:p w14:paraId="27273958">
      <w:pPr>
        <w:spacing w:line="600" w:lineRule="exact"/>
        <w:ind w:firstLine="640"/>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b/>
          <w:color w:val="000000"/>
          <w:sz w:val="32"/>
          <w:szCs w:val="32"/>
        </w:rPr>
        <w:t>国内公务接待支出</w:t>
      </w:r>
      <w:r>
        <w:rPr>
          <w:rFonts w:hint="default" w:ascii="Times New Roman" w:hAnsi="Times New Roman" w:eastAsia="仿宋" w:cs="Times New Roman"/>
          <w:color w:val="000000"/>
          <w:sz w:val="32"/>
          <w:szCs w:val="32"/>
          <w:lang w:val="en-US" w:eastAsia="zh-CN"/>
        </w:rPr>
        <w:t>0.26万元，比2021年减少</w:t>
      </w:r>
      <w:r>
        <w:rPr>
          <w:rFonts w:hint="eastAsia" w:ascii="Times New Roman" w:hAnsi="Times New Roman" w:eastAsia="仿宋" w:cs="Times New Roman"/>
          <w:color w:val="000000"/>
          <w:sz w:val="32"/>
          <w:szCs w:val="32"/>
          <w:lang w:val="en-US" w:eastAsia="zh-CN"/>
        </w:rPr>
        <w:t>0.02</w:t>
      </w:r>
      <w:r>
        <w:rPr>
          <w:rFonts w:hint="default" w:ascii="Times New Roman" w:hAnsi="Times New Roman" w:eastAsia="仿宋" w:cs="Times New Roman"/>
          <w:color w:val="000000"/>
          <w:sz w:val="32"/>
          <w:szCs w:val="32"/>
          <w:lang w:val="en-US" w:eastAsia="zh-CN"/>
        </w:rPr>
        <w:t>万元，下降</w:t>
      </w:r>
      <w:r>
        <w:rPr>
          <w:rFonts w:hint="eastAsia" w:ascii="Times New Roman" w:hAnsi="Times New Roman" w:eastAsia="仿宋" w:cs="Times New Roman"/>
          <w:color w:val="000000"/>
          <w:sz w:val="32"/>
          <w:szCs w:val="32"/>
          <w:lang w:val="en-US" w:eastAsia="zh-CN"/>
        </w:rPr>
        <w:t>7.14</w:t>
      </w:r>
      <w:r>
        <w:rPr>
          <w:rFonts w:hint="default" w:ascii="Times New Roman" w:hAnsi="Times New Roman" w:eastAsia="仿宋" w:cs="Times New Roman"/>
          <w:color w:val="000000"/>
          <w:sz w:val="32"/>
          <w:szCs w:val="32"/>
          <w:lang w:val="en-US" w:eastAsia="zh-CN"/>
        </w:rPr>
        <w:t>%，主要原因是</w:t>
      </w:r>
      <w:r>
        <w:rPr>
          <w:rFonts w:hint="eastAsia" w:ascii="Times New Roman" w:hAnsi="Times New Roman" w:eastAsia="仿宋" w:cs="Times New Roman"/>
          <w:color w:val="000000"/>
          <w:sz w:val="32"/>
          <w:szCs w:val="32"/>
          <w:lang w:val="en-US" w:eastAsia="zh-CN"/>
        </w:rPr>
        <w:t>厉行节俭</w:t>
      </w:r>
      <w:r>
        <w:rPr>
          <w:rFonts w:hint="default" w:ascii="Times New Roman" w:hAnsi="Times New Roman" w:eastAsia="仿宋" w:cs="Times New Roman"/>
          <w:color w:val="000000"/>
          <w:sz w:val="32"/>
          <w:szCs w:val="32"/>
          <w:lang w:val="en-US" w:eastAsia="zh-CN"/>
        </w:rPr>
        <w:t>。主要用于执行公务、开展业务活动开支的用餐费等。国内公务接待</w:t>
      </w:r>
      <w:r>
        <w:rPr>
          <w:rFonts w:hint="eastAsia" w:ascii="Times New Roman" w:hAnsi="Times New Roman" w:eastAsia="仿宋" w:cs="Times New Roman"/>
          <w:color w:val="000000"/>
          <w:sz w:val="32"/>
          <w:szCs w:val="32"/>
          <w:lang w:val="en-US" w:eastAsia="zh-CN"/>
        </w:rPr>
        <w:t>8</w:t>
      </w:r>
      <w:r>
        <w:rPr>
          <w:rFonts w:hint="default" w:ascii="Times New Roman" w:hAnsi="Times New Roman" w:eastAsia="仿宋" w:cs="Times New Roman"/>
          <w:color w:val="000000"/>
          <w:sz w:val="32"/>
          <w:szCs w:val="32"/>
          <w:lang w:val="en-US" w:eastAsia="zh-CN"/>
        </w:rPr>
        <w:t>批次，</w:t>
      </w:r>
      <w:r>
        <w:rPr>
          <w:rFonts w:hint="eastAsia" w:ascii="Times New Roman" w:hAnsi="Times New Roman" w:eastAsia="仿宋" w:cs="Times New Roman"/>
          <w:color w:val="000000"/>
          <w:sz w:val="32"/>
          <w:szCs w:val="32"/>
          <w:lang w:val="en-US" w:eastAsia="zh-CN"/>
        </w:rPr>
        <w:t>37</w:t>
      </w:r>
      <w:r>
        <w:rPr>
          <w:rFonts w:hint="default" w:ascii="Times New Roman" w:hAnsi="Times New Roman" w:eastAsia="仿宋" w:cs="Times New Roman"/>
          <w:color w:val="000000"/>
          <w:sz w:val="32"/>
          <w:szCs w:val="32"/>
          <w:lang w:val="en-US" w:eastAsia="zh-CN"/>
        </w:rPr>
        <w:t>人次（不包括陪同人员），共计支出0.26万元，具体内容包括：</w:t>
      </w:r>
      <w:r>
        <w:rPr>
          <w:rFonts w:hint="eastAsia" w:ascii="Times New Roman" w:hAnsi="Times New Roman" w:eastAsia="仿宋" w:cs="Times New Roman"/>
          <w:color w:val="000000"/>
          <w:sz w:val="32"/>
          <w:szCs w:val="32"/>
          <w:lang w:val="en-US" w:eastAsia="zh-CN"/>
        </w:rPr>
        <w:t>执行公务、业务开展及对口交流等支出0.26万元</w:t>
      </w:r>
      <w:r>
        <w:rPr>
          <w:rFonts w:hint="default" w:ascii="Times New Roman" w:hAnsi="Times New Roman" w:eastAsia="仿宋" w:cs="Times New Roman"/>
          <w:color w:val="000000"/>
          <w:sz w:val="32"/>
          <w:szCs w:val="32"/>
          <w:lang w:val="en-US" w:eastAsia="zh-CN"/>
        </w:rPr>
        <w:t>。</w:t>
      </w:r>
    </w:p>
    <w:p w14:paraId="59324C54">
      <w:pPr>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 w:cs="Times New Roman"/>
          <w:b/>
          <w:color w:val="000000"/>
          <w:sz w:val="32"/>
          <w:szCs w:val="32"/>
        </w:rPr>
        <w:t>外事接待支出</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万元，比2021年增加</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万元，增长</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%，主要原因是</w:t>
      </w:r>
      <w:r>
        <w:rPr>
          <w:rFonts w:hint="eastAsia" w:ascii="Times New Roman" w:hAnsi="Times New Roman" w:eastAsia="仿宋" w:cs="Times New Roman"/>
          <w:color w:val="000000"/>
          <w:sz w:val="32"/>
          <w:szCs w:val="32"/>
          <w:lang w:val="en-US" w:eastAsia="zh-CN"/>
        </w:rPr>
        <w:t>未安排因公出国（境）经费预算</w:t>
      </w:r>
      <w:r>
        <w:rPr>
          <w:rFonts w:hint="default" w:ascii="Times New Roman" w:hAnsi="Times New Roman" w:eastAsia="仿宋" w:cs="Times New Roman"/>
          <w:color w:val="000000"/>
          <w:sz w:val="32"/>
          <w:szCs w:val="32"/>
          <w:lang w:val="en-US" w:eastAsia="zh-CN"/>
        </w:rPr>
        <w:t>。外事接待</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批次，</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人次（不包括陪同人员），共计支出</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万元。</w:t>
      </w:r>
    </w:p>
    <w:p w14:paraId="053B1BB0">
      <w:pPr>
        <w:spacing w:line="600" w:lineRule="exact"/>
        <w:ind w:firstLine="640"/>
        <w:outlineLvl w:val="1"/>
        <w:rPr>
          <w:rFonts w:hint="default" w:ascii="Times New Roman" w:hAnsi="Times New Roman" w:eastAsia="黑体" w:cs="Times New Roman"/>
          <w:color w:val="000000"/>
          <w:sz w:val="32"/>
          <w:szCs w:val="32"/>
        </w:rPr>
      </w:pPr>
    </w:p>
    <w:p w14:paraId="2D11D693">
      <w:pPr>
        <w:spacing w:line="600" w:lineRule="exact"/>
        <w:ind w:firstLine="640"/>
        <w:outlineLvl w:val="1"/>
        <w:rPr>
          <w:rStyle w:val="32"/>
          <w:rFonts w:hint="default" w:ascii="Times New Roman" w:hAnsi="Times New Roman" w:eastAsia="黑体" w:cs="Times New Roman"/>
        </w:rPr>
      </w:pPr>
      <w:r>
        <w:rPr>
          <w:rFonts w:hint="default" w:ascii="Times New Roman" w:hAnsi="Times New Roman" w:eastAsia="黑体" w:cs="Times New Roman"/>
          <w:color w:val="000000"/>
          <w:sz w:val="32"/>
          <w:szCs w:val="32"/>
          <w:lang w:eastAsia="zh-CN"/>
        </w:rPr>
        <w:t>九</w:t>
      </w:r>
      <w:r>
        <w:rPr>
          <w:rFonts w:hint="default" w:ascii="Times New Roman" w:hAnsi="Times New Roman" w:eastAsia="黑体" w:cs="Times New Roman"/>
          <w:color w:val="000000"/>
          <w:sz w:val="32"/>
          <w:szCs w:val="32"/>
        </w:rPr>
        <w:t>、</w:t>
      </w:r>
      <w:r>
        <w:rPr>
          <w:rStyle w:val="32"/>
          <w:rFonts w:hint="default" w:ascii="Times New Roman" w:hAnsi="Times New Roman" w:eastAsia="黑体" w:cs="Times New Roman"/>
          <w:b w:val="0"/>
        </w:rPr>
        <w:t>政府性基金预算支出决算情况说明</w:t>
      </w:r>
      <w:bookmarkEnd w:id="45"/>
      <w:bookmarkEnd w:id="46"/>
    </w:p>
    <w:p w14:paraId="18BA6D2D">
      <w:pPr>
        <w:spacing w:line="600" w:lineRule="exact"/>
        <w:ind w:firstLine="640" w:firstLineChars="200"/>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2022年政府性基金预算拨款支出</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万元。</w:t>
      </w:r>
    </w:p>
    <w:p w14:paraId="6CD20929">
      <w:pPr>
        <w:spacing w:line="600" w:lineRule="exact"/>
        <w:ind w:firstLine="640"/>
        <w:rPr>
          <w:rFonts w:hint="default" w:ascii="Times New Roman" w:hAnsi="Times New Roman" w:eastAsia="仿宋_GB2312" w:cs="Times New Roman"/>
          <w:color w:val="000000"/>
          <w:sz w:val="32"/>
          <w:szCs w:val="32"/>
        </w:rPr>
      </w:pPr>
    </w:p>
    <w:p w14:paraId="710B6273">
      <w:pPr>
        <w:numPr>
          <w:ilvl w:val="0"/>
          <w:numId w:val="0"/>
        </w:numPr>
        <w:spacing w:line="600" w:lineRule="exact"/>
        <w:ind w:firstLine="640" w:firstLineChars="200"/>
        <w:outlineLvl w:val="1"/>
        <w:rPr>
          <w:rStyle w:val="32"/>
          <w:rFonts w:hint="default" w:ascii="Times New Roman" w:hAnsi="Times New Roman" w:eastAsia="黑体" w:cs="Times New Roman"/>
          <w:b w:val="0"/>
        </w:rPr>
      </w:pPr>
      <w:bookmarkStart w:id="48" w:name="_Toc15377219"/>
      <w:bookmarkStart w:id="49" w:name="_Toc15396611"/>
      <w:r>
        <w:rPr>
          <w:rStyle w:val="32"/>
          <w:rFonts w:hint="default" w:ascii="Times New Roman" w:hAnsi="Times New Roman" w:eastAsia="黑体" w:cs="Times New Roman"/>
          <w:b w:val="0"/>
          <w:lang w:eastAsia="zh-CN"/>
        </w:rPr>
        <w:t>十、</w:t>
      </w:r>
      <w:r>
        <w:rPr>
          <w:rStyle w:val="32"/>
          <w:rFonts w:hint="default" w:ascii="Times New Roman" w:hAnsi="Times New Roman" w:eastAsia="黑体" w:cs="Times New Roman"/>
          <w:b w:val="0"/>
        </w:rPr>
        <w:t>国有资本经营预算支出决算情况说明</w:t>
      </w:r>
      <w:bookmarkEnd w:id="48"/>
      <w:bookmarkEnd w:id="49"/>
    </w:p>
    <w:p w14:paraId="53816C95">
      <w:pPr>
        <w:spacing w:line="600" w:lineRule="exact"/>
        <w:ind w:firstLine="640" w:firstLineChars="200"/>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2022年国有资本经营预算拨款支出</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万元。</w:t>
      </w:r>
    </w:p>
    <w:p w14:paraId="51B2204B">
      <w:pPr>
        <w:spacing w:line="580" w:lineRule="exact"/>
        <w:jc w:val="center"/>
        <w:rPr>
          <w:rFonts w:hint="default" w:ascii="Times New Roman" w:hAnsi="Times New Roman" w:eastAsia="方正小标宋简体" w:cs="Times New Roman"/>
          <w:sz w:val="44"/>
          <w:szCs w:val="44"/>
        </w:rPr>
      </w:pPr>
    </w:p>
    <w:p w14:paraId="753104BC">
      <w:pPr>
        <w:spacing w:line="600" w:lineRule="exact"/>
        <w:ind w:left="0" w:leftChars="0" w:firstLine="640" w:firstLineChars="200"/>
        <w:outlineLvl w:val="1"/>
        <w:rPr>
          <w:rStyle w:val="32"/>
          <w:rFonts w:hint="default" w:ascii="Times New Roman" w:hAnsi="Times New Roman" w:eastAsia="黑体" w:cs="Times New Roman"/>
        </w:rPr>
      </w:pPr>
      <w:bookmarkStart w:id="50" w:name="_Toc15377221"/>
      <w:bookmarkStart w:id="51" w:name="_Toc15396612"/>
      <w:r>
        <w:rPr>
          <w:rFonts w:hint="default" w:ascii="Times New Roman" w:hAnsi="Times New Roman" w:eastAsia="黑体" w:cs="Times New Roman"/>
          <w:color w:val="000000"/>
          <w:sz w:val="32"/>
          <w:szCs w:val="32"/>
        </w:rPr>
        <w:t>十</w:t>
      </w:r>
      <w:r>
        <w:rPr>
          <w:rFonts w:hint="default" w:ascii="Times New Roman" w:hAnsi="Times New Roman" w:eastAsia="黑体" w:cs="Times New Roman"/>
          <w:color w:val="000000"/>
          <w:sz w:val="32"/>
          <w:szCs w:val="32"/>
          <w:lang w:eastAsia="zh-CN"/>
        </w:rPr>
        <w:t>一</w:t>
      </w:r>
      <w:r>
        <w:rPr>
          <w:rStyle w:val="32"/>
          <w:rFonts w:hint="default" w:ascii="Times New Roman" w:hAnsi="Times New Roman" w:eastAsia="黑体" w:cs="Times New Roman"/>
        </w:rPr>
        <w:t>、</w:t>
      </w:r>
      <w:r>
        <w:rPr>
          <w:rStyle w:val="32"/>
          <w:rFonts w:hint="default" w:ascii="Times New Roman" w:hAnsi="Times New Roman" w:eastAsia="黑体" w:cs="Times New Roman"/>
          <w:b w:val="0"/>
        </w:rPr>
        <w:t>其他重要事项的情况说明</w:t>
      </w:r>
      <w:bookmarkEnd w:id="50"/>
      <w:bookmarkEnd w:id="51"/>
    </w:p>
    <w:p w14:paraId="083B90A5">
      <w:pPr>
        <w:spacing w:line="600" w:lineRule="exact"/>
        <w:ind w:firstLine="643" w:firstLineChars="200"/>
        <w:outlineLvl w:val="2"/>
        <w:rPr>
          <w:rFonts w:hint="default" w:ascii="Times New Roman" w:hAnsi="Times New Roman" w:eastAsia="仿宋" w:cs="Times New Roman"/>
          <w:color w:val="000000"/>
          <w:sz w:val="32"/>
          <w:szCs w:val="32"/>
        </w:rPr>
      </w:pPr>
      <w:bookmarkStart w:id="52" w:name="_Toc15377222"/>
      <w:r>
        <w:rPr>
          <w:rFonts w:hint="default" w:ascii="Times New Roman" w:hAnsi="Times New Roman" w:eastAsia="仿宋" w:cs="Times New Roman"/>
          <w:b/>
          <w:color w:val="000000"/>
          <w:sz w:val="32"/>
          <w:szCs w:val="32"/>
        </w:rPr>
        <w:t>（一）机关运行经费支出情况</w:t>
      </w:r>
      <w:bookmarkEnd w:id="52"/>
    </w:p>
    <w:p w14:paraId="073C3301">
      <w:pPr>
        <w:spacing w:line="600" w:lineRule="exact"/>
        <w:ind w:firstLine="640" w:firstLineChars="200"/>
        <w:rPr>
          <w:rFonts w:hint="eastAsia"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2022年，机关运行经费支出</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万元，与2021年决算数持平。主要原因是</w:t>
      </w:r>
      <w:r>
        <w:rPr>
          <w:rFonts w:hint="eastAsia" w:ascii="Times New Roman" w:hAnsi="Times New Roman" w:eastAsia="仿宋" w:cs="Times New Roman"/>
          <w:color w:val="000000"/>
          <w:sz w:val="32"/>
          <w:szCs w:val="32"/>
          <w:lang w:val="en-US" w:eastAsia="zh-CN"/>
        </w:rPr>
        <w:t>本单位为事业单位，</w:t>
      </w:r>
      <w:r>
        <w:rPr>
          <w:rFonts w:hint="default" w:ascii="Times New Roman" w:hAnsi="Times New Roman" w:eastAsia="仿宋" w:cs="Times New Roman"/>
          <w:color w:val="000000"/>
          <w:sz w:val="32"/>
          <w:szCs w:val="32"/>
          <w:lang w:val="en-US" w:eastAsia="zh-CN"/>
        </w:rPr>
        <w:t>20</w:t>
      </w:r>
      <w:r>
        <w:rPr>
          <w:rFonts w:hint="eastAsia" w:ascii="Times New Roman" w:hAnsi="Times New Roman" w:eastAsia="仿宋" w:cs="Times New Roman"/>
          <w:color w:val="000000"/>
          <w:sz w:val="32"/>
          <w:szCs w:val="32"/>
          <w:lang w:val="en-US" w:eastAsia="zh-CN"/>
        </w:rPr>
        <w:t>22年无机关运行经费支出。</w:t>
      </w:r>
    </w:p>
    <w:p w14:paraId="26AE2261">
      <w:pPr>
        <w:autoSpaceDE w:val="0"/>
        <w:autoSpaceDN w:val="0"/>
        <w:adjustRightInd w:val="0"/>
        <w:spacing w:line="600" w:lineRule="exact"/>
        <w:ind w:firstLine="643" w:firstLineChars="200"/>
        <w:jc w:val="left"/>
        <w:outlineLvl w:val="2"/>
        <w:rPr>
          <w:rFonts w:hint="default" w:ascii="Times New Roman" w:hAnsi="Times New Roman" w:eastAsia="仿宋" w:cs="Times New Roman"/>
          <w:b/>
          <w:color w:val="000000"/>
          <w:sz w:val="32"/>
          <w:szCs w:val="32"/>
        </w:rPr>
      </w:pPr>
      <w:bookmarkStart w:id="53" w:name="_Toc15377223"/>
      <w:r>
        <w:rPr>
          <w:rFonts w:hint="default" w:ascii="Times New Roman" w:hAnsi="Times New Roman" w:eastAsia="仿宋" w:cs="Times New Roman"/>
          <w:b/>
          <w:color w:val="000000"/>
          <w:sz w:val="32"/>
          <w:szCs w:val="32"/>
        </w:rPr>
        <w:t>（二）政府采购支出情况</w:t>
      </w:r>
      <w:bookmarkEnd w:id="53"/>
    </w:p>
    <w:p w14:paraId="61AF6887">
      <w:pPr>
        <w:spacing w:line="600" w:lineRule="exact"/>
        <w:ind w:firstLine="640" w:firstLineChars="200"/>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2022年，</w:t>
      </w:r>
      <w:r>
        <w:rPr>
          <w:rFonts w:hint="eastAsia" w:ascii="Times New Roman" w:hAnsi="Times New Roman" w:eastAsia="仿宋" w:cs="Times New Roman"/>
          <w:color w:val="000000"/>
          <w:sz w:val="32"/>
          <w:szCs w:val="32"/>
          <w:lang w:val="en-US" w:eastAsia="zh-CN"/>
        </w:rPr>
        <w:t>岳池县土地统征整理事务中心</w:t>
      </w:r>
      <w:r>
        <w:rPr>
          <w:rFonts w:hint="default" w:ascii="Times New Roman" w:hAnsi="Times New Roman" w:eastAsia="仿宋" w:cs="Times New Roman"/>
          <w:color w:val="000000"/>
          <w:sz w:val="32"/>
          <w:szCs w:val="32"/>
          <w:lang w:val="en-US" w:eastAsia="zh-CN"/>
        </w:rPr>
        <w:t>政府采购支出总额</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万元，其中：政府采购货物支出</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万元、政府采购工程支出</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万元、政府采购服务支出</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万元。授予中小企业合同金额</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万元，占政府采购支出总额的</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%，其中：授予小微企业合同金额</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万元，占政府采购支出总额的</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w:t>
      </w:r>
    </w:p>
    <w:p w14:paraId="351533C1">
      <w:pPr>
        <w:autoSpaceDE w:val="0"/>
        <w:autoSpaceDN w:val="0"/>
        <w:adjustRightInd w:val="0"/>
        <w:spacing w:line="600" w:lineRule="exact"/>
        <w:ind w:firstLine="643" w:firstLineChars="200"/>
        <w:jc w:val="left"/>
        <w:outlineLvl w:val="2"/>
        <w:rPr>
          <w:rFonts w:hint="default" w:ascii="Times New Roman" w:hAnsi="Times New Roman" w:eastAsia="仿宋" w:cs="Times New Roman"/>
          <w:b/>
          <w:color w:val="000000"/>
          <w:sz w:val="32"/>
          <w:szCs w:val="32"/>
        </w:rPr>
      </w:pPr>
      <w:bookmarkStart w:id="54" w:name="_Toc15377224"/>
      <w:r>
        <w:rPr>
          <w:rFonts w:hint="default" w:ascii="Times New Roman" w:hAnsi="Times New Roman" w:eastAsia="仿宋" w:cs="Times New Roman"/>
          <w:b/>
          <w:color w:val="000000"/>
          <w:sz w:val="32"/>
          <w:szCs w:val="32"/>
        </w:rPr>
        <w:t>（三）国有资产占有使用情况</w:t>
      </w:r>
      <w:bookmarkEnd w:id="54"/>
    </w:p>
    <w:p w14:paraId="7A834FF3">
      <w:pPr>
        <w:spacing w:line="600" w:lineRule="exact"/>
        <w:ind w:firstLine="640" w:firstLineChars="200"/>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截至2022年12月31日，</w:t>
      </w:r>
      <w:r>
        <w:rPr>
          <w:rFonts w:hint="eastAsia" w:ascii="Times New Roman" w:hAnsi="Times New Roman" w:eastAsia="仿宋" w:cs="Times New Roman"/>
          <w:color w:val="000000"/>
          <w:sz w:val="32"/>
          <w:szCs w:val="32"/>
          <w:lang w:val="en-US" w:eastAsia="zh-CN"/>
        </w:rPr>
        <w:t>岳池县土地统征整理事务中心</w:t>
      </w:r>
      <w:r>
        <w:rPr>
          <w:rFonts w:hint="default" w:ascii="Times New Roman" w:hAnsi="Times New Roman" w:eastAsia="仿宋" w:cs="Times New Roman"/>
          <w:color w:val="000000"/>
          <w:sz w:val="32"/>
          <w:szCs w:val="32"/>
          <w:lang w:val="en-US" w:eastAsia="zh-CN"/>
        </w:rPr>
        <w:t>共有车辆</w:t>
      </w:r>
      <w:r>
        <w:rPr>
          <w:rFonts w:hint="eastAsia"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lang w:val="en-US" w:eastAsia="zh-CN"/>
        </w:rPr>
        <w:t>辆，其中：主要领导干部用车</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辆、机要通信用车</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辆、应急保障用车</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辆、其他用车</w:t>
      </w:r>
      <w:r>
        <w:rPr>
          <w:rFonts w:hint="eastAsia"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lang w:val="en-US" w:eastAsia="zh-CN"/>
        </w:rPr>
        <w:t>辆</w:t>
      </w:r>
      <w:r>
        <w:rPr>
          <w:rFonts w:hint="eastAsia" w:ascii="Times New Roman" w:hAnsi="Times New Roman" w:eastAsia="仿宋" w:cs="Times New Roman"/>
          <w:color w:val="000000"/>
          <w:sz w:val="32"/>
          <w:szCs w:val="32"/>
          <w:lang w:val="en-US" w:eastAsia="zh-CN"/>
        </w:rPr>
        <w:t>（已移交机关事务局，待销户）。</w:t>
      </w:r>
    </w:p>
    <w:p w14:paraId="4EF81B65">
      <w:pPr>
        <w:spacing w:line="600" w:lineRule="exact"/>
        <w:ind w:firstLine="640" w:firstLineChars="200"/>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单价100万元以上专用设备</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台（套）。</w:t>
      </w:r>
    </w:p>
    <w:p w14:paraId="6C6CCD27">
      <w:pPr>
        <w:autoSpaceDE w:val="0"/>
        <w:autoSpaceDN w:val="0"/>
        <w:adjustRightInd w:val="0"/>
        <w:spacing w:line="600" w:lineRule="exact"/>
        <w:ind w:firstLine="643" w:firstLineChars="200"/>
        <w:jc w:val="left"/>
        <w:outlineLvl w:val="2"/>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（四）预算绩效管理情况。</w:t>
      </w:r>
    </w:p>
    <w:p w14:paraId="6FC8C12F">
      <w:pPr>
        <w:spacing w:line="600" w:lineRule="exact"/>
        <w:ind w:firstLine="640" w:firstLineChars="200"/>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根据预算绩效管理要求，</w:t>
      </w:r>
      <w:r>
        <w:rPr>
          <w:rFonts w:hint="eastAsia" w:ascii="Times New Roman" w:hAnsi="Times New Roman" w:eastAsia="仿宋" w:cs="Times New Roman"/>
          <w:color w:val="000000"/>
          <w:sz w:val="32"/>
          <w:szCs w:val="32"/>
          <w:lang w:val="en-US" w:eastAsia="zh-CN"/>
        </w:rPr>
        <w:t>因当年无特定目标类单位预算项目，</w:t>
      </w:r>
      <w:r>
        <w:rPr>
          <w:rFonts w:hint="default" w:ascii="Times New Roman" w:hAnsi="Times New Roman" w:eastAsia="仿宋" w:cs="Times New Roman"/>
          <w:color w:val="000000"/>
          <w:sz w:val="32"/>
          <w:szCs w:val="32"/>
          <w:lang w:val="en-US" w:eastAsia="zh-CN"/>
        </w:rPr>
        <w:t>本单位在2022年度预算编制阶段，组织对</w:t>
      </w:r>
      <w:r>
        <w:rPr>
          <w:rFonts w:hint="eastAsia" w:ascii="Times New Roman" w:hAnsi="Times New Roman" w:eastAsia="仿宋" w:cs="Times New Roman"/>
          <w:color w:val="000000"/>
          <w:sz w:val="32"/>
          <w:szCs w:val="32"/>
          <w:lang w:val="en-US" w:eastAsia="zh-CN"/>
        </w:rPr>
        <w:t>0个</w:t>
      </w:r>
      <w:r>
        <w:rPr>
          <w:rFonts w:hint="default" w:ascii="Times New Roman" w:hAnsi="Times New Roman" w:eastAsia="仿宋" w:cs="Times New Roman"/>
          <w:color w:val="000000"/>
          <w:sz w:val="32"/>
          <w:szCs w:val="32"/>
          <w:lang w:val="en-US" w:eastAsia="zh-CN"/>
        </w:rPr>
        <w:t>项目开展了预算事前绩效评估，对</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个项目编制了绩效目标，预算执行过程中，选取</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个项目开展绩效监控，组织对</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个项目开展绩效自评，</w:t>
      </w:r>
      <w:r>
        <w:rPr>
          <w:rFonts w:hint="eastAsia" w:ascii="Times New Roman" w:hAnsi="Times New Roman" w:eastAsia="仿宋" w:cs="Times New Roman"/>
          <w:color w:val="000000"/>
          <w:sz w:val="32"/>
          <w:szCs w:val="32"/>
          <w:lang w:val="en-US" w:eastAsia="zh-CN"/>
        </w:rPr>
        <w:t>同时，本单位对2022年单位整体开展绩效自评，《202</w:t>
      </w:r>
      <w:r>
        <w:rPr>
          <w:rFonts w:hint="eastAsia" w:eastAsia="仿宋" w:cs="Times New Roman"/>
          <w:color w:val="000000"/>
          <w:sz w:val="32"/>
          <w:szCs w:val="32"/>
          <w:lang w:val="en-US" w:eastAsia="zh-CN"/>
        </w:rPr>
        <w:t>3</w:t>
      </w:r>
      <w:r>
        <w:rPr>
          <w:rFonts w:hint="eastAsia" w:ascii="Times New Roman" w:hAnsi="Times New Roman" w:eastAsia="仿宋" w:cs="Times New Roman"/>
          <w:color w:val="000000"/>
          <w:sz w:val="32"/>
          <w:szCs w:val="32"/>
          <w:lang w:val="en-US" w:eastAsia="zh-CN"/>
        </w:rPr>
        <w:t>年岳池县土地统征整理事务中心单位整体绩效评价报告》</w:t>
      </w:r>
      <w:r>
        <w:rPr>
          <w:rFonts w:hint="default" w:ascii="Times New Roman" w:hAnsi="Times New Roman" w:eastAsia="仿宋" w:cs="Times New Roman"/>
          <w:color w:val="000000"/>
          <w:sz w:val="32"/>
          <w:szCs w:val="32"/>
          <w:lang w:val="en-US" w:eastAsia="zh-CN"/>
        </w:rPr>
        <w:t>详见第四部分附件。</w:t>
      </w:r>
    </w:p>
    <w:p w14:paraId="0D89300A">
      <w:pPr>
        <w:pStyle w:val="5"/>
        <w:rPr>
          <w:rFonts w:hint="default" w:ascii="Times New Roman" w:hAnsi="Times New Roman" w:eastAsia="仿宋_GB2312" w:cs="Times New Roman"/>
          <w:color w:val="000000"/>
          <w:sz w:val="32"/>
          <w:szCs w:val="32"/>
        </w:rPr>
      </w:pPr>
    </w:p>
    <w:p w14:paraId="259092FC">
      <w:pPr>
        <w:pStyle w:val="5"/>
        <w:rPr>
          <w:rFonts w:hint="default" w:ascii="Times New Roman" w:hAnsi="Times New Roman" w:eastAsia="仿宋_GB2312" w:cs="Times New Roman"/>
          <w:color w:val="000000"/>
          <w:sz w:val="32"/>
          <w:szCs w:val="32"/>
        </w:rPr>
      </w:pPr>
    </w:p>
    <w:p w14:paraId="4C983EE4">
      <w:pPr>
        <w:pStyle w:val="5"/>
        <w:rPr>
          <w:rFonts w:hint="default" w:ascii="Times New Roman" w:hAnsi="Times New Roman" w:eastAsia="仿宋_GB2312" w:cs="Times New Roman"/>
          <w:color w:val="000000"/>
          <w:sz w:val="32"/>
          <w:szCs w:val="32"/>
        </w:rPr>
      </w:pPr>
    </w:p>
    <w:p w14:paraId="3ED73C6B">
      <w:pPr>
        <w:pStyle w:val="5"/>
        <w:rPr>
          <w:rFonts w:hint="default" w:ascii="Times New Roman" w:hAnsi="Times New Roman" w:eastAsia="仿宋_GB2312" w:cs="Times New Roman"/>
          <w:color w:val="000000"/>
          <w:sz w:val="32"/>
          <w:szCs w:val="32"/>
        </w:rPr>
      </w:pPr>
    </w:p>
    <w:p w14:paraId="194AC207">
      <w:pPr>
        <w:pStyle w:val="5"/>
        <w:rPr>
          <w:rFonts w:hint="default" w:ascii="Times New Roman" w:hAnsi="Times New Roman" w:eastAsia="仿宋_GB2312" w:cs="Times New Roman"/>
          <w:color w:val="000000"/>
          <w:sz w:val="32"/>
          <w:szCs w:val="32"/>
        </w:rPr>
      </w:pPr>
    </w:p>
    <w:p w14:paraId="77D7429E">
      <w:pPr>
        <w:pStyle w:val="5"/>
        <w:rPr>
          <w:rFonts w:hint="default" w:ascii="Times New Roman" w:hAnsi="Times New Roman" w:eastAsia="仿宋_GB2312" w:cs="Times New Roman"/>
          <w:color w:val="000000"/>
          <w:sz w:val="32"/>
          <w:szCs w:val="32"/>
        </w:rPr>
      </w:pPr>
    </w:p>
    <w:p w14:paraId="7469F7FE">
      <w:pPr>
        <w:pStyle w:val="5"/>
        <w:rPr>
          <w:rFonts w:hint="default" w:ascii="Times New Roman" w:hAnsi="Times New Roman" w:cs="Times New Roman"/>
        </w:rPr>
      </w:pPr>
    </w:p>
    <w:p w14:paraId="170C8D01">
      <w:pPr>
        <w:pStyle w:val="5"/>
        <w:rPr>
          <w:rFonts w:hint="default" w:ascii="Times New Roman" w:hAnsi="Times New Roman" w:cs="Times New Roman"/>
        </w:rPr>
      </w:pPr>
    </w:p>
    <w:p w14:paraId="52B835C7">
      <w:pPr>
        <w:pStyle w:val="5"/>
        <w:rPr>
          <w:rFonts w:hint="default" w:ascii="Times New Roman" w:hAnsi="Times New Roman" w:cs="Times New Roman"/>
        </w:rPr>
      </w:pPr>
    </w:p>
    <w:p w14:paraId="474DA8D3">
      <w:pPr>
        <w:pStyle w:val="5"/>
        <w:rPr>
          <w:rFonts w:hint="default" w:ascii="Times New Roman" w:hAnsi="Times New Roman" w:cs="Times New Roman"/>
        </w:rPr>
      </w:pPr>
    </w:p>
    <w:p w14:paraId="08791603">
      <w:pPr>
        <w:pStyle w:val="5"/>
        <w:rPr>
          <w:rFonts w:hint="default" w:ascii="Times New Roman" w:hAnsi="Times New Roman" w:cs="Times New Roman"/>
        </w:rPr>
      </w:pPr>
    </w:p>
    <w:p w14:paraId="7E4EF859">
      <w:pPr>
        <w:numPr>
          <w:ilvl w:val="0"/>
          <w:numId w:val="3"/>
        </w:numPr>
        <w:spacing w:line="600" w:lineRule="exact"/>
        <w:ind w:firstLine="660" w:firstLineChars="150"/>
        <w:jc w:val="center"/>
        <w:outlineLvl w:val="0"/>
        <w:rPr>
          <w:rStyle w:val="31"/>
          <w:rFonts w:hint="default" w:ascii="Times New Roman" w:hAnsi="Times New Roman" w:eastAsia="黑体" w:cs="Times New Roman"/>
          <w:b w:val="0"/>
        </w:rPr>
      </w:pPr>
      <w:bookmarkStart w:id="55" w:name="_Toc15396613"/>
      <w:bookmarkStart w:id="56" w:name="_Toc15377225"/>
      <w:r>
        <w:rPr>
          <w:rFonts w:hint="default" w:ascii="Times New Roman" w:hAnsi="Times New Roman" w:eastAsia="黑体" w:cs="Times New Roman"/>
          <w:color w:val="000000"/>
          <w:sz w:val="44"/>
          <w:szCs w:val="44"/>
        </w:rPr>
        <w:t>名</w:t>
      </w:r>
      <w:r>
        <w:rPr>
          <w:rStyle w:val="31"/>
          <w:rFonts w:hint="default" w:ascii="Times New Roman" w:hAnsi="Times New Roman" w:eastAsia="黑体" w:cs="Times New Roman"/>
          <w:b w:val="0"/>
        </w:rPr>
        <w:t>词解释</w:t>
      </w:r>
      <w:bookmarkEnd w:id="55"/>
      <w:bookmarkEnd w:id="56"/>
    </w:p>
    <w:p w14:paraId="4848CCD8">
      <w:pPr>
        <w:spacing w:line="600" w:lineRule="exact"/>
        <w:jc w:val="left"/>
        <w:rPr>
          <w:rFonts w:hint="default" w:ascii="Times New Roman" w:hAnsi="Times New Roman" w:cs="Times New Roman"/>
          <w:b/>
          <w:color w:val="000000"/>
          <w:sz w:val="44"/>
          <w:szCs w:val="44"/>
        </w:rPr>
      </w:pPr>
    </w:p>
    <w:p w14:paraId="2BFDCFBD">
      <w:pPr>
        <w:pStyle w:val="9"/>
        <w:widowControl w:val="0"/>
        <w:wordWrap/>
        <w:spacing w:line="560" w:lineRule="exact"/>
        <w:ind w:firstLine="640" w:firstLineChars="200"/>
        <w:textAlignment w:val="auto"/>
        <w:rPr>
          <w:rFonts w:hint="eastAsia" w:ascii="仿宋" w:hAnsi="仿宋" w:eastAsia="仿宋" w:cs="仿宋"/>
          <w:b w:val="0"/>
          <w:bCs w:val="0"/>
          <w:sz w:val="32"/>
          <w:szCs w:val="32"/>
        </w:rPr>
      </w:pPr>
      <w:bookmarkStart w:id="57" w:name="_Toc15377226"/>
      <w:r>
        <w:rPr>
          <w:rFonts w:hint="eastAsia" w:ascii="仿宋" w:hAnsi="仿宋" w:eastAsia="仿宋" w:cs="仿宋"/>
          <w:b w:val="0"/>
          <w:bCs w:val="0"/>
          <w:sz w:val="32"/>
          <w:szCs w:val="32"/>
        </w:rPr>
        <w:t>1.财政拨款收入：指单位从同级财政</w:t>
      </w:r>
      <w:r>
        <w:rPr>
          <w:rFonts w:hint="eastAsia" w:ascii="仿宋" w:hAnsi="仿宋" w:eastAsia="仿宋" w:cs="仿宋"/>
          <w:b w:val="0"/>
          <w:bCs w:val="0"/>
          <w:sz w:val="32"/>
          <w:szCs w:val="32"/>
          <w:lang w:eastAsia="zh-CN"/>
        </w:rPr>
        <w:t>单位</w:t>
      </w:r>
      <w:r>
        <w:rPr>
          <w:rFonts w:hint="eastAsia" w:ascii="仿宋" w:hAnsi="仿宋" w:eastAsia="仿宋" w:cs="仿宋"/>
          <w:b w:val="0"/>
          <w:bCs w:val="0"/>
          <w:sz w:val="32"/>
          <w:szCs w:val="32"/>
        </w:rPr>
        <w:t>取得的财政预算资金。</w:t>
      </w:r>
    </w:p>
    <w:p w14:paraId="22CC62D2">
      <w:pPr>
        <w:pStyle w:val="9"/>
        <w:widowControl w:val="0"/>
        <w:wordWrap/>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2.事业收入：指事业单位开展专业业务活动及辅助活动取得的收入。如…（二级预算单位事业收入情况）等。</w:t>
      </w:r>
    </w:p>
    <w:p w14:paraId="34373250">
      <w:pPr>
        <w:pStyle w:val="9"/>
        <w:widowControl w:val="0"/>
        <w:wordWrap/>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3.经营收入：指事业单位在专业业务活动及其辅助活动之外开展非独立核算经营活动取得的收入。如…（二级预算单位经营收入情况）等。</w:t>
      </w:r>
    </w:p>
    <w:p w14:paraId="27973BAF">
      <w:pPr>
        <w:pStyle w:val="9"/>
        <w:widowControl w:val="0"/>
        <w:wordWrap/>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4.其他收入：指单位取得的除上述收入以外的各项收入。主要是…（收入类型）等。 </w:t>
      </w:r>
    </w:p>
    <w:p w14:paraId="6FFCE5D9">
      <w:pPr>
        <w:pStyle w:val="9"/>
        <w:widowControl w:val="0"/>
        <w:wordWrap/>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5.</w:t>
      </w:r>
      <w:r>
        <w:rPr>
          <w:rFonts w:hint="eastAsia" w:ascii="仿宋" w:hAnsi="仿宋" w:eastAsia="仿宋" w:cs="仿宋"/>
          <w:b w:val="0"/>
          <w:bCs w:val="0"/>
          <w:sz w:val="32"/>
          <w:szCs w:val="32"/>
          <w:lang w:eastAsia="zh-CN"/>
        </w:rPr>
        <w:t>使用非财政拨款结余</w:t>
      </w:r>
      <w:r>
        <w:rPr>
          <w:rFonts w:hint="eastAsia" w:ascii="仿宋" w:hAnsi="仿宋" w:eastAsia="仿宋" w:cs="仿宋"/>
          <w:b w:val="0"/>
          <w:bCs w:val="0"/>
          <w:sz w:val="32"/>
          <w:szCs w:val="32"/>
        </w:rPr>
        <w:t>：指事业单位</w:t>
      </w:r>
      <w:r>
        <w:rPr>
          <w:rFonts w:hint="eastAsia" w:ascii="仿宋" w:hAnsi="仿宋" w:eastAsia="仿宋" w:cs="仿宋"/>
          <w:b w:val="0"/>
          <w:bCs w:val="0"/>
          <w:sz w:val="32"/>
          <w:szCs w:val="32"/>
          <w:lang w:eastAsia="zh-CN"/>
        </w:rPr>
        <w:t>使用以前年度积累的非财政拨款结余弥补当年收支差额的金额。</w:t>
      </w:r>
      <w:r>
        <w:rPr>
          <w:rFonts w:hint="eastAsia" w:ascii="仿宋" w:hAnsi="仿宋" w:eastAsia="仿宋" w:cs="仿宋"/>
          <w:b w:val="0"/>
          <w:bCs w:val="0"/>
          <w:sz w:val="32"/>
          <w:szCs w:val="32"/>
        </w:rPr>
        <w:t xml:space="preserve"> </w:t>
      </w:r>
    </w:p>
    <w:p w14:paraId="3814D090">
      <w:pPr>
        <w:pStyle w:val="9"/>
        <w:widowControl w:val="0"/>
        <w:wordWrap/>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6.年初结转和结余：指以前年度尚未完成、结转到本年按有关规定继续使用的资金。 </w:t>
      </w:r>
    </w:p>
    <w:p w14:paraId="79832575">
      <w:pPr>
        <w:pStyle w:val="9"/>
        <w:widowControl w:val="0"/>
        <w:wordWrap/>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7.结余分配：指事业单位按照会计制度规定</w:t>
      </w:r>
      <w:r>
        <w:rPr>
          <w:rFonts w:hint="eastAsia" w:ascii="仿宋" w:hAnsi="仿宋" w:eastAsia="仿宋" w:cs="仿宋"/>
          <w:b w:val="0"/>
          <w:bCs w:val="0"/>
          <w:sz w:val="32"/>
          <w:szCs w:val="32"/>
          <w:lang w:eastAsia="zh-CN"/>
        </w:rPr>
        <w:t>缴纳的所得税、提取的专用结余以及转入非财政拨款结余的金额</w:t>
      </w:r>
      <w:r>
        <w:rPr>
          <w:rFonts w:hint="eastAsia" w:ascii="仿宋" w:hAnsi="仿宋" w:eastAsia="仿宋" w:cs="仿宋"/>
          <w:b w:val="0"/>
          <w:bCs w:val="0"/>
          <w:sz w:val="32"/>
          <w:szCs w:val="32"/>
        </w:rPr>
        <w:t>等。</w:t>
      </w:r>
    </w:p>
    <w:p w14:paraId="0B45EC83">
      <w:pPr>
        <w:pStyle w:val="9"/>
        <w:widowControl w:val="0"/>
        <w:wordWrap/>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8</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年末结转和结余：指单位按有关规定结转到下年或以后年度继续使用的资金。</w:t>
      </w:r>
    </w:p>
    <w:p w14:paraId="5F46BCC7">
      <w:pPr>
        <w:pStyle w:val="9"/>
        <w:widowControl w:val="0"/>
        <w:wordWrap/>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社会保障和就业（类）行政事业单位养老支出（款）机关事业单位基本养老保险缴费支出（项）：</w:t>
      </w:r>
      <w:r>
        <w:rPr>
          <w:rFonts w:hint="eastAsia" w:ascii="仿宋" w:hAnsi="仿宋" w:eastAsia="仿宋" w:cs="仿宋"/>
          <w:b w:val="0"/>
          <w:bCs w:val="0"/>
          <w:sz w:val="32"/>
          <w:szCs w:val="32"/>
          <w:lang w:val="en-US" w:eastAsia="zh-CN"/>
        </w:rPr>
        <w:t>指</w:t>
      </w:r>
      <w:r>
        <w:rPr>
          <w:rFonts w:hint="eastAsia" w:ascii="仿宋" w:hAnsi="仿宋" w:eastAsia="仿宋" w:cs="仿宋"/>
          <w:b w:val="0"/>
          <w:bCs w:val="0"/>
          <w:sz w:val="32"/>
          <w:szCs w:val="32"/>
          <w:lang w:eastAsia="zh-CN"/>
        </w:rPr>
        <w:t>机关事业单位</w:t>
      </w:r>
      <w:r>
        <w:rPr>
          <w:rFonts w:hint="eastAsia" w:ascii="仿宋" w:hAnsi="仿宋" w:eastAsia="仿宋" w:cs="仿宋"/>
          <w:b w:val="0"/>
          <w:bCs w:val="0"/>
          <w:sz w:val="32"/>
          <w:szCs w:val="32"/>
        </w:rPr>
        <w:t>实施养老保险制度由单位缴纳的基本养老保险费支出。</w:t>
      </w:r>
    </w:p>
    <w:p w14:paraId="15DBB12F">
      <w:pPr>
        <w:pStyle w:val="9"/>
        <w:widowControl w:val="0"/>
        <w:wordWrap/>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.社会保障和就业（类）行政事业单位养老支出（款）机关事业单位职业年金缴费支出（项）：</w:t>
      </w:r>
      <w:r>
        <w:rPr>
          <w:rFonts w:hint="eastAsia" w:ascii="仿宋" w:hAnsi="仿宋" w:eastAsia="仿宋" w:cs="仿宋"/>
          <w:b w:val="0"/>
          <w:bCs w:val="0"/>
          <w:sz w:val="32"/>
          <w:szCs w:val="32"/>
          <w:lang w:val="en-US" w:eastAsia="zh-CN"/>
        </w:rPr>
        <w:t>指</w:t>
      </w:r>
      <w:r>
        <w:rPr>
          <w:rFonts w:hint="eastAsia" w:ascii="仿宋" w:hAnsi="仿宋" w:eastAsia="仿宋" w:cs="仿宋"/>
          <w:b w:val="0"/>
          <w:bCs w:val="0"/>
          <w:sz w:val="32"/>
          <w:szCs w:val="32"/>
          <w:lang w:eastAsia="zh-CN"/>
        </w:rPr>
        <w:t>机关事业单位</w:t>
      </w:r>
      <w:r>
        <w:rPr>
          <w:rFonts w:hint="eastAsia" w:ascii="仿宋" w:hAnsi="仿宋" w:eastAsia="仿宋" w:cs="仿宋"/>
          <w:b w:val="0"/>
          <w:bCs w:val="0"/>
          <w:sz w:val="32"/>
          <w:szCs w:val="32"/>
        </w:rPr>
        <w:t>实施养老保险制度由单位</w:t>
      </w:r>
      <w:r>
        <w:rPr>
          <w:rFonts w:hint="eastAsia" w:ascii="仿宋" w:hAnsi="仿宋" w:eastAsia="仿宋" w:cs="仿宋"/>
          <w:b w:val="0"/>
          <w:bCs w:val="0"/>
          <w:sz w:val="32"/>
          <w:szCs w:val="32"/>
          <w:lang w:eastAsia="zh-CN"/>
        </w:rPr>
        <w:t>实际</w:t>
      </w:r>
      <w:r>
        <w:rPr>
          <w:rFonts w:hint="eastAsia" w:ascii="仿宋" w:hAnsi="仿宋" w:eastAsia="仿宋" w:cs="仿宋"/>
          <w:b w:val="0"/>
          <w:bCs w:val="0"/>
          <w:sz w:val="32"/>
          <w:szCs w:val="32"/>
        </w:rPr>
        <w:t>缴纳的职业年金支出。</w:t>
      </w:r>
    </w:p>
    <w:p w14:paraId="14C4BE1E">
      <w:pPr>
        <w:pStyle w:val="9"/>
        <w:widowControl w:val="0"/>
        <w:wordWrap/>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11</w:t>
      </w:r>
      <w:r>
        <w:rPr>
          <w:rFonts w:hint="eastAsia" w:ascii="仿宋" w:hAnsi="仿宋" w:eastAsia="仿宋" w:cs="仿宋"/>
          <w:b w:val="0"/>
          <w:bCs w:val="0"/>
          <w:sz w:val="32"/>
          <w:szCs w:val="32"/>
        </w:rPr>
        <w:t>.卫生健康支出（类）行政事业单位医疗（款）事业单位医疗（项）：指财政</w:t>
      </w:r>
      <w:r>
        <w:rPr>
          <w:rFonts w:hint="eastAsia" w:ascii="仿宋" w:hAnsi="仿宋" w:eastAsia="仿宋" w:cs="仿宋"/>
          <w:b w:val="0"/>
          <w:bCs w:val="0"/>
          <w:sz w:val="32"/>
          <w:szCs w:val="32"/>
          <w:lang w:eastAsia="zh-CN"/>
        </w:rPr>
        <w:t>单位</w:t>
      </w:r>
      <w:r>
        <w:rPr>
          <w:rFonts w:hint="eastAsia" w:ascii="仿宋" w:hAnsi="仿宋" w:eastAsia="仿宋" w:cs="仿宋"/>
          <w:b w:val="0"/>
          <w:bCs w:val="0"/>
          <w:sz w:val="32"/>
          <w:szCs w:val="32"/>
        </w:rPr>
        <w:t>安排的事业单位基本医疗保险缴费经费，未参加医疗保险的事业单位的公费医疗经费， 按国家规定享受离退休人员待遇人员的医疗经费。</w:t>
      </w:r>
    </w:p>
    <w:p w14:paraId="3454694F">
      <w:pPr>
        <w:pStyle w:val="9"/>
        <w:widowControl w:val="0"/>
        <w:wordWrap/>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12.</w:t>
      </w:r>
      <w:r>
        <w:rPr>
          <w:rFonts w:hint="eastAsia" w:ascii="仿宋" w:hAnsi="仿宋" w:eastAsia="仿宋" w:cs="仿宋"/>
          <w:b w:val="0"/>
          <w:bCs w:val="0"/>
          <w:sz w:val="32"/>
          <w:szCs w:val="32"/>
        </w:rPr>
        <w:t>卫生健康支出（类）计划生育事务（款）其他计划生育事务支出（项）</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指其他用于计划生育管理事务方面的支出。</w:t>
      </w:r>
    </w:p>
    <w:p w14:paraId="3CDBA1A0">
      <w:pPr>
        <w:pStyle w:val="9"/>
        <w:widowControl w:val="0"/>
        <w:wordWrap/>
        <w:spacing w:line="56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13.</w:t>
      </w:r>
      <w:r>
        <w:rPr>
          <w:rFonts w:hint="eastAsia" w:ascii="仿宋" w:hAnsi="仿宋" w:eastAsia="仿宋" w:cs="仿宋"/>
          <w:b w:val="0"/>
          <w:bCs w:val="0"/>
          <w:sz w:val="32"/>
          <w:szCs w:val="32"/>
        </w:rPr>
        <w:t>自然资源海洋气象等支出（类）自然资源事务（款）事业运行（项）：</w:t>
      </w:r>
      <w:r>
        <w:rPr>
          <w:rFonts w:hint="eastAsia" w:ascii="仿宋" w:hAnsi="仿宋" w:eastAsia="仿宋" w:cs="仿宋"/>
          <w:b w:val="0"/>
          <w:bCs w:val="0"/>
          <w:sz w:val="32"/>
          <w:szCs w:val="32"/>
          <w:lang w:val="en-US" w:eastAsia="zh-CN"/>
        </w:rPr>
        <w:t>指岳池县土地统征整理事务中心</w:t>
      </w:r>
      <w:r>
        <w:rPr>
          <w:rFonts w:hint="eastAsia" w:ascii="仿宋" w:hAnsi="仿宋" w:eastAsia="仿宋" w:cs="仿宋"/>
          <w:b w:val="0"/>
          <w:bCs w:val="0"/>
          <w:sz w:val="32"/>
          <w:szCs w:val="32"/>
        </w:rPr>
        <w:t>的基本支出。</w:t>
      </w:r>
    </w:p>
    <w:p w14:paraId="6A2D61BF">
      <w:pPr>
        <w:pStyle w:val="9"/>
        <w:widowControl w:val="0"/>
        <w:wordWrap/>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14.</w:t>
      </w:r>
      <w:r>
        <w:rPr>
          <w:rFonts w:hint="eastAsia" w:ascii="仿宋" w:hAnsi="仿宋" w:eastAsia="仿宋" w:cs="仿宋"/>
          <w:b w:val="0"/>
          <w:bCs w:val="0"/>
          <w:sz w:val="32"/>
          <w:szCs w:val="32"/>
        </w:rPr>
        <w:t>住房保障支出（类）住房改革支出（款）住房公积金（项）：</w:t>
      </w:r>
      <w:r>
        <w:rPr>
          <w:rFonts w:hint="eastAsia" w:ascii="仿宋" w:hAnsi="仿宋" w:eastAsia="仿宋" w:cs="仿宋"/>
          <w:b w:val="0"/>
          <w:bCs w:val="0"/>
          <w:sz w:val="32"/>
          <w:szCs w:val="32"/>
          <w:lang w:val="en-US" w:eastAsia="zh-CN"/>
        </w:rPr>
        <w:t>指</w:t>
      </w:r>
      <w:r>
        <w:rPr>
          <w:rFonts w:hint="eastAsia" w:ascii="仿宋" w:hAnsi="仿宋" w:eastAsia="仿宋" w:cs="仿宋"/>
          <w:b w:val="0"/>
          <w:bCs w:val="0"/>
          <w:sz w:val="32"/>
          <w:szCs w:val="32"/>
        </w:rPr>
        <w:t>行政事业单位按照人力资源和社会保障部、财政部规定的基本工资和津贴补贴以及规定比例为职工缴纳的住房公积金。</w:t>
      </w:r>
    </w:p>
    <w:p w14:paraId="19027E3A">
      <w:pPr>
        <w:pStyle w:val="9"/>
        <w:widowControl w:val="0"/>
        <w:wordWrap/>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15</w:t>
      </w:r>
      <w:r>
        <w:rPr>
          <w:rFonts w:hint="eastAsia" w:ascii="仿宋" w:hAnsi="仿宋" w:eastAsia="仿宋" w:cs="仿宋"/>
          <w:b w:val="0"/>
          <w:bCs w:val="0"/>
          <w:sz w:val="32"/>
          <w:szCs w:val="32"/>
        </w:rPr>
        <w:t>.基本支出：指</w:t>
      </w:r>
      <w:r>
        <w:rPr>
          <w:rFonts w:hint="eastAsia" w:ascii="仿宋" w:hAnsi="仿宋" w:eastAsia="仿宋" w:cs="仿宋"/>
          <w:b w:val="0"/>
          <w:bCs w:val="0"/>
          <w:sz w:val="32"/>
          <w:szCs w:val="32"/>
          <w:lang w:val="en-US" w:eastAsia="zh-CN"/>
        </w:rPr>
        <w:t>岳池县土地统征整理事务中心</w:t>
      </w:r>
      <w:r>
        <w:rPr>
          <w:rFonts w:hint="eastAsia" w:ascii="仿宋" w:hAnsi="仿宋" w:eastAsia="仿宋" w:cs="仿宋"/>
          <w:b w:val="0"/>
          <w:bCs w:val="0"/>
          <w:sz w:val="32"/>
          <w:szCs w:val="32"/>
        </w:rPr>
        <w:t>为保障机构正常运转、完成日常工作任务而发生的人员支出和公用支出。</w:t>
      </w:r>
    </w:p>
    <w:p w14:paraId="3AC28120">
      <w:pPr>
        <w:pStyle w:val="9"/>
        <w:widowControl w:val="0"/>
        <w:wordWrap/>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16</w:t>
      </w:r>
      <w:r>
        <w:rPr>
          <w:rFonts w:hint="eastAsia" w:ascii="仿宋" w:hAnsi="仿宋" w:eastAsia="仿宋" w:cs="仿宋"/>
          <w:b w:val="0"/>
          <w:bCs w:val="0"/>
          <w:sz w:val="32"/>
          <w:szCs w:val="32"/>
        </w:rPr>
        <w:t>.经营支出：指事业单位在专业业务活动及其辅助活动之外开展非独立核算经营活动发生的支出。</w:t>
      </w:r>
    </w:p>
    <w:p w14:paraId="2EDEA1CF">
      <w:pPr>
        <w:pStyle w:val="9"/>
        <w:widowControl w:val="0"/>
        <w:wordWrap/>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17</w:t>
      </w:r>
      <w:r>
        <w:rPr>
          <w:rFonts w:hint="eastAsia" w:ascii="仿宋" w:hAnsi="仿宋" w:eastAsia="仿宋" w:cs="仿宋"/>
          <w:b w:val="0"/>
          <w:bCs w:val="0"/>
          <w:sz w:val="32"/>
          <w:szCs w:val="32"/>
        </w:rPr>
        <w:t>.“三公”经费：指</w:t>
      </w:r>
      <w:r>
        <w:rPr>
          <w:rFonts w:hint="eastAsia" w:ascii="仿宋" w:hAnsi="仿宋" w:eastAsia="仿宋" w:cs="仿宋"/>
          <w:b w:val="0"/>
          <w:bCs w:val="0"/>
          <w:sz w:val="32"/>
          <w:szCs w:val="32"/>
          <w:lang w:val="en-US" w:eastAsia="zh-CN"/>
        </w:rPr>
        <w:t>岳池县土地统征整理事务中心</w:t>
      </w:r>
      <w:r>
        <w:rPr>
          <w:rFonts w:hint="eastAsia" w:ascii="仿宋" w:hAnsi="仿宋" w:eastAsia="仿宋" w:cs="仿宋"/>
          <w:b w:val="0"/>
          <w:bCs w:val="0"/>
          <w:sz w:val="32"/>
          <w:szCs w:val="32"/>
        </w:rPr>
        <w:t>用财政拨款安排的公务接待费。公务接待费反映单位按规定开支的各类公务接待支出。</w:t>
      </w:r>
    </w:p>
    <w:p w14:paraId="31E4B312">
      <w:pPr>
        <w:spacing w:line="600" w:lineRule="exact"/>
        <w:jc w:val="center"/>
        <w:outlineLvl w:val="0"/>
        <w:rPr>
          <w:rStyle w:val="31"/>
          <w:rFonts w:hint="eastAsia" w:ascii="黑体" w:hAnsi="黑体" w:eastAsia="黑体"/>
          <w:b w:val="0"/>
          <w:color w:val="auto"/>
          <w:highlight w:val="none"/>
          <w:lang w:eastAsia="zh-CN"/>
        </w:rPr>
      </w:pPr>
      <w:r>
        <w:rPr>
          <w:rFonts w:hint="default" w:ascii="Times New Roman" w:hAnsi="Times New Roman" w:cs="Times New Roman"/>
          <w:b/>
          <w:color w:val="000000"/>
          <w:sz w:val="44"/>
          <w:szCs w:val="44"/>
        </w:rPr>
        <w:br w:type="page"/>
      </w:r>
      <w:r>
        <w:rPr>
          <w:rFonts w:hint="eastAsia" w:ascii="黑体" w:hAnsi="黑体" w:eastAsia="黑体"/>
          <w:color w:val="auto"/>
          <w:sz w:val="44"/>
          <w:szCs w:val="44"/>
          <w:highlight w:val="none"/>
        </w:rPr>
        <w:t>第</w:t>
      </w:r>
      <w:r>
        <w:rPr>
          <w:rStyle w:val="31"/>
          <w:rFonts w:hint="eastAsia" w:ascii="黑体" w:hAnsi="黑体" w:eastAsia="黑体"/>
          <w:b w:val="0"/>
          <w:color w:val="auto"/>
          <w:highlight w:val="none"/>
        </w:rPr>
        <w:t>四部分 附件</w:t>
      </w:r>
    </w:p>
    <w:p w14:paraId="39C5421F">
      <w:pPr>
        <w:wordWrap/>
        <w:spacing w:line="572" w:lineRule="exact"/>
        <w:jc w:val="left"/>
        <w:textAlignment w:val="auto"/>
        <w:outlineLvl w:val="0"/>
        <w:rPr>
          <w:rFonts w:hint="eastAsia" w:ascii="方正小标宋简体" w:hAnsi="方正小标宋简体" w:eastAsia="黑体" w:cs="方正小标宋简体"/>
          <w:color w:val="auto"/>
          <w:sz w:val="44"/>
          <w:szCs w:val="44"/>
          <w:highlight w:val="none"/>
          <w:lang w:val="en-US" w:eastAsia="zh-CN"/>
        </w:rPr>
      </w:pPr>
      <w:r>
        <w:rPr>
          <w:rFonts w:hint="eastAsia" w:ascii="黑体" w:hAnsi="黑体" w:eastAsia="黑体" w:cs="黑体"/>
          <w:color w:val="auto"/>
          <w:sz w:val="32"/>
          <w:szCs w:val="32"/>
          <w:highlight w:val="none"/>
        </w:rPr>
        <w:t>附件</w:t>
      </w:r>
    </w:p>
    <w:p w14:paraId="468A8E18">
      <w:pPr>
        <w:widowControl w:val="0"/>
        <w:wordWrap/>
        <w:adjustRightInd/>
        <w:snapToGrid/>
        <w:spacing w:line="700" w:lineRule="exact"/>
        <w:jc w:val="center"/>
        <w:textAlignment w:val="auto"/>
        <w:rPr>
          <w:rFonts w:hint="eastAsia" w:ascii="方正小标宋_GBK" w:hAnsi="方正小标宋_GBK" w:eastAsia="方正小标宋_GBK" w:cs="方正小标宋_GBK"/>
          <w:color w:val="auto"/>
          <w:kern w:val="0"/>
          <w:sz w:val="44"/>
          <w:szCs w:val="44"/>
          <w:highlight w:val="none"/>
          <w:lang w:val="en-US" w:eastAsia="zh-CN"/>
        </w:rPr>
      </w:pPr>
      <w:r>
        <w:rPr>
          <w:rFonts w:hint="eastAsia" w:ascii="方正小标宋_GBK" w:hAnsi="方正小标宋_GBK" w:eastAsia="方正小标宋_GBK" w:cs="方正小标宋_GBK"/>
          <w:color w:val="auto"/>
          <w:kern w:val="0"/>
          <w:sz w:val="44"/>
          <w:szCs w:val="44"/>
          <w:highlight w:val="none"/>
        </w:rPr>
        <w:t>202</w:t>
      </w:r>
      <w:r>
        <w:rPr>
          <w:rFonts w:hint="eastAsia" w:ascii="方正小标宋_GBK" w:hAnsi="方正小标宋_GBK" w:eastAsia="方正小标宋_GBK" w:cs="方正小标宋_GBK"/>
          <w:color w:val="auto"/>
          <w:kern w:val="0"/>
          <w:sz w:val="44"/>
          <w:szCs w:val="44"/>
          <w:highlight w:val="none"/>
          <w:lang w:val="en-US" w:eastAsia="zh-CN"/>
        </w:rPr>
        <w:t>3</w:t>
      </w:r>
      <w:r>
        <w:rPr>
          <w:rFonts w:hint="eastAsia" w:ascii="方正小标宋_GBK" w:hAnsi="方正小标宋_GBK" w:eastAsia="方正小标宋_GBK" w:cs="方正小标宋_GBK"/>
          <w:color w:val="auto"/>
          <w:kern w:val="0"/>
          <w:sz w:val="44"/>
          <w:szCs w:val="44"/>
          <w:highlight w:val="none"/>
        </w:rPr>
        <w:t>年</w:t>
      </w:r>
      <w:r>
        <w:rPr>
          <w:rFonts w:hint="eastAsia" w:ascii="方正小标宋_GBK" w:hAnsi="方正小标宋_GBK" w:eastAsia="方正小标宋_GBK" w:cs="方正小标宋_GBK"/>
          <w:color w:val="auto"/>
          <w:kern w:val="0"/>
          <w:sz w:val="44"/>
          <w:szCs w:val="44"/>
          <w:highlight w:val="none"/>
          <w:lang w:val="en-US" w:eastAsia="zh-CN"/>
        </w:rPr>
        <w:t>岳池县土地统征整理事务中心</w:t>
      </w:r>
    </w:p>
    <w:p w14:paraId="0FFDF0CC">
      <w:pPr>
        <w:widowControl w:val="0"/>
        <w:wordWrap/>
        <w:adjustRightInd/>
        <w:snapToGrid/>
        <w:spacing w:line="700" w:lineRule="exact"/>
        <w:jc w:val="center"/>
        <w:textAlignment w:val="auto"/>
        <w:rPr>
          <w:rFonts w:hint="eastAsia" w:ascii="方正小标宋_GBK" w:hAnsi="方正小标宋_GBK" w:eastAsia="方正小标宋_GBK" w:cs="方正小标宋_GBK"/>
          <w:color w:val="auto"/>
          <w:kern w:val="0"/>
          <w:sz w:val="44"/>
          <w:szCs w:val="44"/>
          <w:highlight w:val="none"/>
        </w:rPr>
      </w:pPr>
      <w:r>
        <w:rPr>
          <w:rFonts w:hint="eastAsia" w:ascii="方正小标宋_GBK" w:hAnsi="方正小标宋_GBK" w:eastAsia="方正小标宋_GBK" w:cs="方正小标宋_GBK"/>
          <w:color w:val="auto"/>
          <w:kern w:val="0"/>
          <w:sz w:val="44"/>
          <w:szCs w:val="44"/>
          <w:highlight w:val="none"/>
          <w:lang w:eastAsia="zh-CN"/>
        </w:rPr>
        <w:t>单位</w:t>
      </w:r>
      <w:r>
        <w:rPr>
          <w:rFonts w:hint="eastAsia" w:ascii="方正小标宋_GBK" w:hAnsi="方正小标宋_GBK" w:eastAsia="方正小标宋_GBK" w:cs="方正小标宋_GBK"/>
          <w:color w:val="auto"/>
          <w:kern w:val="0"/>
          <w:sz w:val="44"/>
          <w:szCs w:val="44"/>
          <w:highlight w:val="none"/>
        </w:rPr>
        <w:t>整体绩效评价报告</w:t>
      </w:r>
    </w:p>
    <w:p w14:paraId="2F716323">
      <w:pPr>
        <w:widowControl w:val="0"/>
        <w:wordWrap/>
        <w:adjustRightInd/>
        <w:snapToGrid/>
        <w:spacing w:line="700" w:lineRule="exact"/>
        <w:jc w:val="center"/>
        <w:textAlignment w:val="auto"/>
        <w:rPr>
          <w:rFonts w:hint="eastAsia" w:ascii="方正小标宋_GBK" w:hAnsi="方正小标宋_GBK" w:eastAsia="方正小标宋_GBK" w:cs="方正小标宋_GBK"/>
          <w:color w:val="auto"/>
          <w:kern w:val="0"/>
          <w:sz w:val="44"/>
          <w:szCs w:val="44"/>
          <w:highlight w:val="none"/>
          <w:lang w:val="zh-CN"/>
        </w:rPr>
      </w:pPr>
    </w:p>
    <w:p w14:paraId="3C69A672">
      <w:pPr>
        <w:pStyle w:val="9"/>
        <w:widowControl w:val="0"/>
        <w:wordWrap/>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根据预算管理制度要求，我单位对2022年度部门整体支出的管理、使用及效益等情况进行了绩效自评。现将评价情况报告如下：</w:t>
      </w:r>
    </w:p>
    <w:p w14:paraId="6200A88E">
      <w:pPr>
        <w:spacing w:line="560" w:lineRule="exact"/>
        <w:ind w:firstLine="640" w:firstLineChars="200"/>
        <w:rPr>
          <w:rFonts w:ascii="方正黑体_GBK" w:hAnsi="宋体" w:eastAsia="方正黑体_GBK" w:cs="黑体"/>
          <w:bCs/>
          <w:sz w:val="32"/>
          <w:szCs w:val="32"/>
        </w:rPr>
      </w:pPr>
      <w:r>
        <w:rPr>
          <w:rFonts w:hint="eastAsia" w:ascii="方正黑体_GBK" w:hAnsi="宋体" w:eastAsia="方正黑体_GBK" w:cs="黑体"/>
          <w:bCs/>
          <w:sz w:val="32"/>
          <w:szCs w:val="32"/>
        </w:rPr>
        <w:t>一、单位概况</w:t>
      </w:r>
    </w:p>
    <w:p w14:paraId="7AFF48B1">
      <w:pPr>
        <w:spacing w:line="560" w:lineRule="exact"/>
        <w:ind w:firstLine="643" w:firstLineChars="200"/>
        <w:rPr>
          <w:rFonts w:ascii="方正楷体_GBK" w:hAnsi="宋体" w:eastAsia="方正楷体_GBK" w:cs="仿宋_GB2312"/>
          <w:b/>
          <w:bCs/>
          <w:sz w:val="32"/>
          <w:szCs w:val="32"/>
        </w:rPr>
      </w:pPr>
      <w:r>
        <w:rPr>
          <w:rFonts w:hint="eastAsia" w:ascii="方正楷体_GBK" w:hAnsi="宋体" w:eastAsia="方正楷体_GBK" w:cs="仿宋_GB2312"/>
          <w:b/>
          <w:bCs/>
          <w:sz w:val="32"/>
          <w:szCs w:val="32"/>
        </w:rPr>
        <w:t>(一)机构组成</w:t>
      </w:r>
    </w:p>
    <w:p w14:paraId="3AB49051">
      <w:pPr>
        <w:pStyle w:val="9"/>
        <w:widowControl w:val="0"/>
        <w:wordWrap/>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岳池县土地统征整理事务中心为财政补助事业单位，属一级预算单位，无下属单位。</w:t>
      </w:r>
    </w:p>
    <w:p w14:paraId="38CECEBC">
      <w:pPr>
        <w:pStyle w:val="13"/>
        <w:shd w:val="clear" w:color="auto" w:fill="FFFFFF"/>
        <w:spacing w:beforeAutospacing="0" w:afterAutospacing="0"/>
        <w:ind w:firstLine="516"/>
        <w:rPr>
          <w:rFonts w:ascii="方正楷体_GBK" w:hAnsi="宋体" w:eastAsia="方正楷体_GBK"/>
          <w:b/>
          <w:sz w:val="32"/>
          <w:szCs w:val="32"/>
        </w:rPr>
      </w:pPr>
      <w:r>
        <w:rPr>
          <w:rFonts w:hint="eastAsia" w:ascii="方正楷体_GBK" w:hAnsi="宋体" w:eastAsia="方正楷体_GBK" w:cs="仿宋_GB2312"/>
          <w:b/>
          <w:bCs/>
          <w:sz w:val="32"/>
          <w:szCs w:val="32"/>
        </w:rPr>
        <w:t>（二）机构职能</w:t>
      </w:r>
    </w:p>
    <w:p w14:paraId="3D3940A8">
      <w:pPr>
        <w:pStyle w:val="9"/>
        <w:widowControl w:val="0"/>
        <w:wordWrap/>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1.负责宣传、贯彻、执行国家、省、市土地房屋征收的法律、法规、方针、政策；</w:t>
      </w:r>
    </w:p>
    <w:p w14:paraId="1E002CE8">
      <w:pPr>
        <w:pStyle w:val="9"/>
        <w:widowControl w:val="0"/>
        <w:wordWrap/>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2.依据全县国民经济和社会发展规划、土地利用总体规划、城乡规划和专项规划，负责编制全县集体土地和国有土地上房屋征收计划；</w:t>
      </w:r>
    </w:p>
    <w:p w14:paraId="3A81E2DD">
      <w:pPr>
        <w:pStyle w:val="9"/>
        <w:widowControl w:val="0"/>
        <w:wordWrap/>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3.负责全县集体土地和国有土地上房屋征收、拆迁、补偿、安置政策的制定和方案的拟订、报批工作；</w:t>
      </w:r>
    </w:p>
    <w:p w14:paraId="41E706F2">
      <w:pPr>
        <w:pStyle w:val="9"/>
        <w:widowControl w:val="0"/>
        <w:wordWrap/>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4.负责组织实施县人民政府批准的征收、拆迁、补偿方案，并指导、协调和监督相关乡镇或部门实施已批准的方案，参与补偿协议的签订；</w:t>
      </w:r>
    </w:p>
    <w:p w14:paraId="1BA36C93">
      <w:pPr>
        <w:pStyle w:val="9"/>
        <w:widowControl w:val="0"/>
        <w:wordWrap/>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5.负责做好被征收对象的安置工作；</w:t>
      </w:r>
    </w:p>
    <w:p w14:paraId="75A200EE">
      <w:pPr>
        <w:pStyle w:val="9"/>
        <w:widowControl w:val="0"/>
        <w:wordWrap/>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6.负责编制全县土地房屋征收资金需求计划，做好全县土地房屋征收的费用审核、报批和资金拨付工作；</w:t>
      </w:r>
    </w:p>
    <w:p w14:paraId="5019D603">
      <w:pPr>
        <w:pStyle w:val="9"/>
        <w:widowControl w:val="0"/>
        <w:wordWrap/>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7.负责统计、分析、上报全县土地房屋征收情况；</w:t>
      </w:r>
    </w:p>
    <w:p w14:paraId="3B7BA306">
      <w:pPr>
        <w:pStyle w:val="9"/>
        <w:widowControl w:val="0"/>
        <w:wordWrap/>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8.负责涉及全县房屋征收、拆迁、补偿、安置信访事件的调查处理工作；编制土地、房屋征收应急预案；</w:t>
      </w:r>
    </w:p>
    <w:p w14:paraId="3543F630">
      <w:pPr>
        <w:pStyle w:val="9"/>
        <w:widowControl w:val="0"/>
        <w:wordWrap/>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9.承办县委、县政府交办的其它工作。主管部门为县自然资源和规划局。</w:t>
      </w:r>
    </w:p>
    <w:p w14:paraId="7CC5DD55">
      <w:pPr>
        <w:snapToGrid w:val="0"/>
        <w:spacing w:line="520" w:lineRule="exact"/>
        <w:ind w:firstLine="643" w:firstLineChars="200"/>
        <w:rPr>
          <w:rFonts w:ascii="方正楷体_GBK" w:hAnsi="宋体" w:eastAsia="方正楷体_GBK" w:cs="仿宋_GB2312"/>
          <w:b/>
          <w:bCs/>
          <w:sz w:val="32"/>
          <w:szCs w:val="32"/>
        </w:rPr>
      </w:pPr>
      <w:r>
        <w:rPr>
          <w:rFonts w:hint="eastAsia" w:ascii="方正楷体_GBK" w:hAnsi="宋体" w:eastAsia="方正楷体_GBK" w:cs="仿宋_GB2312"/>
          <w:b/>
          <w:bCs/>
          <w:sz w:val="32"/>
          <w:szCs w:val="32"/>
        </w:rPr>
        <w:t>（三）人员概况</w:t>
      </w:r>
    </w:p>
    <w:p w14:paraId="0168B679">
      <w:pPr>
        <w:spacing w:line="560" w:lineRule="exact"/>
        <w:rPr>
          <w:rFonts w:hint="eastAsia" w:ascii="仿宋" w:hAnsi="仿宋" w:eastAsia="仿宋" w:cs="仿宋"/>
          <w:b w:val="0"/>
          <w:bCs w:val="0"/>
          <w:kern w:val="0"/>
          <w:sz w:val="32"/>
          <w:szCs w:val="32"/>
          <w:lang w:val="en-US" w:eastAsia="zh-CN" w:bidi="ar-SA"/>
        </w:rPr>
      </w:pPr>
      <w:r>
        <w:rPr>
          <w:rFonts w:hint="eastAsia" w:ascii="方正仿宋_GBK" w:hAnsi="宋体" w:eastAsia="方正仿宋_GBK" w:cs="仿宋_GB2312"/>
          <w:b/>
          <w:bCs/>
          <w:sz w:val="32"/>
          <w:szCs w:val="32"/>
        </w:rPr>
        <w:t xml:space="preserve">    </w:t>
      </w:r>
      <w:r>
        <w:rPr>
          <w:rFonts w:hint="eastAsia" w:ascii="仿宋" w:hAnsi="仿宋" w:eastAsia="仿宋" w:cs="仿宋"/>
          <w:b w:val="0"/>
          <w:bCs w:val="0"/>
          <w:kern w:val="0"/>
          <w:sz w:val="32"/>
          <w:szCs w:val="32"/>
          <w:lang w:val="en-US" w:eastAsia="zh-CN" w:bidi="ar-SA"/>
        </w:rPr>
        <w:t xml:space="preserve"> 截至2022年12月31日，部门人员情况如下：单位事业编制14人，在职实有14人，退休5人。</w:t>
      </w:r>
    </w:p>
    <w:p w14:paraId="62F32756">
      <w:pPr>
        <w:spacing w:line="560" w:lineRule="exact"/>
        <w:ind w:firstLine="640" w:firstLineChars="200"/>
        <w:rPr>
          <w:rFonts w:ascii="方正黑体_GBK" w:hAnsi="宋体" w:eastAsia="方正黑体_GBK" w:cs="黑体"/>
          <w:bCs/>
          <w:sz w:val="32"/>
          <w:szCs w:val="32"/>
        </w:rPr>
      </w:pPr>
      <w:r>
        <w:rPr>
          <w:rFonts w:hint="eastAsia" w:ascii="方正黑体_GBK" w:hAnsi="宋体" w:eastAsia="方正黑体_GBK" w:cs="黑体"/>
          <w:bCs/>
          <w:sz w:val="32"/>
          <w:szCs w:val="32"/>
        </w:rPr>
        <w:t>二、</w:t>
      </w:r>
      <w:r>
        <w:rPr>
          <w:rFonts w:hint="eastAsia" w:ascii="方正黑体_GBK" w:hAnsi="宋体" w:eastAsia="方正黑体_GBK" w:cs="黑体"/>
          <w:bCs/>
          <w:sz w:val="32"/>
          <w:szCs w:val="32"/>
          <w:lang w:eastAsia="zh-CN"/>
        </w:rPr>
        <w:t>单位</w:t>
      </w:r>
      <w:r>
        <w:rPr>
          <w:rFonts w:hint="eastAsia" w:ascii="方正黑体_GBK" w:hAnsi="宋体" w:eastAsia="方正黑体_GBK" w:cs="黑体"/>
          <w:bCs/>
          <w:sz w:val="32"/>
          <w:szCs w:val="32"/>
        </w:rPr>
        <w:t>财政资金收支情况</w:t>
      </w:r>
    </w:p>
    <w:p w14:paraId="1CDFD1CE">
      <w:pPr>
        <w:spacing w:line="560" w:lineRule="exact"/>
        <w:ind w:firstLine="643" w:firstLineChars="200"/>
        <w:rPr>
          <w:rFonts w:ascii="方正楷体_GBK" w:hAnsi="宋体" w:eastAsia="方正楷体_GBK" w:cs="仿宋_GB2312"/>
          <w:b/>
          <w:bCs/>
          <w:sz w:val="32"/>
          <w:szCs w:val="32"/>
        </w:rPr>
      </w:pPr>
      <w:r>
        <w:rPr>
          <w:rFonts w:hint="eastAsia" w:ascii="方正楷体_GBK" w:hAnsi="宋体" w:eastAsia="方正楷体_GBK" w:cs="仿宋_GB2312"/>
          <w:b/>
          <w:bCs/>
          <w:sz w:val="32"/>
          <w:szCs w:val="32"/>
        </w:rPr>
        <w:t>(一)</w:t>
      </w:r>
      <w:r>
        <w:rPr>
          <w:rFonts w:hint="eastAsia" w:ascii="方正楷体_GBK" w:hAnsi="宋体" w:eastAsia="方正楷体_GBK" w:cs="仿宋_GB2312"/>
          <w:b/>
          <w:bCs/>
          <w:sz w:val="32"/>
          <w:szCs w:val="32"/>
          <w:lang w:eastAsia="zh-CN"/>
        </w:rPr>
        <w:t>单位</w:t>
      </w:r>
      <w:r>
        <w:rPr>
          <w:rFonts w:hint="eastAsia" w:ascii="方正楷体_GBK" w:hAnsi="宋体" w:eastAsia="方正楷体_GBK" w:cs="仿宋_GB2312"/>
          <w:b/>
          <w:bCs/>
          <w:sz w:val="32"/>
          <w:szCs w:val="32"/>
        </w:rPr>
        <w:t>财政资金收入情况</w:t>
      </w:r>
    </w:p>
    <w:p w14:paraId="210BE13C">
      <w:pPr>
        <w:pStyle w:val="9"/>
        <w:widowControl w:val="0"/>
        <w:wordWrap/>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2022年度收入合计209.82万元，其中：财政拨款收入209.82万元，占100%。</w:t>
      </w:r>
    </w:p>
    <w:p w14:paraId="4259C3DE">
      <w:pPr>
        <w:spacing w:line="560" w:lineRule="exact"/>
        <w:ind w:firstLine="643" w:firstLineChars="200"/>
        <w:rPr>
          <w:rFonts w:ascii="方正楷体_GBK" w:hAnsi="宋体" w:eastAsia="方正楷体_GBK" w:cs="仿宋_GB2312"/>
          <w:b/>
          <w:bCs/>
          <w:sz w:val="32"/>
          <w:szCs w:val="32"/>
        </w:rPr>
      </w:pPr>
      <w:r>
        <w:rPr>
          <w:rFonts w:hint="eastAsia" w:ascii="方正楷体_GBK" w:hAnsi="宋体" w:eastAsia="方正楷体_GBK" w:cs="仿宋_GB2312"/>
          <w:b/>
          <w:bCs/>
          <w:sz w:val="32"/>
          <w:szCs w:val="32"/>
        </w:rPr>
        <w:t>(二)</w:t>
      </w:r>
      <w:r>
        <w:rPr>
          <w:rFonts w:hint="eastAsia" w:ascii="方正楷体_GBK" w:hAnsi="宋体" w:eastAsia="方正楷体_GBK" w:cs="仿宋_GB2312"/>
          <w:b/>
          <w:bCs/>
          <w:sz w:val="32"/>
          <w:szCs w:val="32"/>
          <w:lang w:eastAsia="zh-CN"/>
        </w:rPr>
        <w:t>单位</w:t>
      </w:r>
      <w:r>
        <w:rPr>
          <w:rFonts w:hint="eastAsia" w:ascii="方正楷体_GBK" w:hAnsi="宋体" w:eastAsia="方正楷体_GBK" w:cs="仿宋_GB2312"/>
          <w:b/>
          <w:bCs/>
          <w:sz w:val="32"/>
          <w:szCs w:val="32"/>
        </w:rPr>
        <w:t>财政资金支出情况</w:t>
      </w:r>
    </w:p>
    <w:p w14:paraId="1236F66F">
      <w:pPr>
        <w:pStyle w:val="9"/>
        <w:widowControl w:val="0"/>
        <w:wordWrap/>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2022年度支出合计209.82万元，其中：基本支出209.82万元，占总支出100%，完成预算的100%。</w:t>
      </w:r>
    </w:p>
    <w:p w14:paraId="62CCAE87">
      <w:pPr>
        <w:spacing w:line="560" w:lineRule="exact"/>
        <w:ind w:firstLine="640" w:firstLineChars="200"/>
        <w:rPr>
          <w:rFonts w:ascii="方正黑体_GBK" w:hAnsi="宋体" w:eastAsia="方正黑体_GBK" w:cs="仿宋_GB2312"/>
          <w:sz w:val="32"/>
          <w:szCs w:val="32"/>
        </w:rPr>
      </w:pPr>
      <w:r>
        <w:rPr>
          <w:rFonts w:hint="eastAsia" w:ascii="方正黑体_GBK" w:hAnsi="宋体" w:eastAsia="方正黑体_GBK" w:cs="仿宋_GB2312"/>
          <w:sz w:val="32"/>
          <w:szCs w:val="32"/>
        </w:rPr>
        <w:t>三、</w:t>
      </w:r>
      <w:r>
        <w:rPr>
          <w:rFonts w:hint="eastAsia" w:ascii="方正黑体_GBK" w:hAnsi="宋体" w:eastAsia="方正黑体_GBK" w:cs="仿宋_GB2312"/>
          <w:sz w:val="32"/>
          <w:szCs w:val="32"/>
          <w:lang w:eastAsia="zh-CN"/>
        </w:rPr>
        <w:t>单位</w:t>
      </w:r>
      <w:r>
        <w:rPr>
          <w:rFonts w:hint="eastAsia" w:ascii="方正黑体_GBK" w:hAnsi="宋体" w:eastAsia="方正黑体_GBK" w:cs="仿宋_GB2312"/>
          <w:sz w:val="32"/>
          <w:szCs w:val="32"/>
        </w:rPr>
        <w:t>整体预算绩效管理情况</w:t>
      </w:r>
    </w:p>
    <w:p w14:paraId="42C6077B">
      <w:pPr>
        <w:spacing w:line="560" w:lineRule="exact"/>
        <w:ind w:firstLine="643" w:firstLineChars="200"/>
        <w:rPr>
          <w:rFonts w:ascii="方正楷体_GBK" w:hAnsi="宋体" w:eastAsia="方正楷体_GBK" w:cs="仿宋_GB2312"/>
          <w:b/>
          <w:bCs/>
          <w:sz w:val="32"/>
          <w:szCs w:val="32"/>
        </w:rPr>
      </w:pPr>
      <w:r>
        <w:rPr>
          <w:rFonts w:hint="eastAsia" w:ascii="方正楷体_GBK" w:hAnsi="宋体" w:eastAsia="方正楷体_GBK" w:cs="仿宋_GB2312"/>
          <w:b/>
          <w:bCs/>
          <w:sz w:val="32"/>
          <w:szCs w:val="32"/>
        </w:rPr>
        <w:t>（一）单位预算管理</w:t>
      </w:r>
    </w:p>
    <w:p w14:paraId="6FC182BE">
      <w:pPr>
        <w:pStyle w:val="9"/>
        <w:widowControl w:val="0"/>
        <w:wordWrap/>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预算编制中严格执行《中华人民共和国预算法》等各项制度和单位内部控制相关制度以及会计核算制度；设立的整体支出绩效目标依据充分，目标明确、合理，符合经济和社会发展总体规划，符合部门职责要求。</w:t>
      </w:r>
    </w:p>
    <w:p w14:paraId="0D7C41CA">
      <w:pPr>
        <w:pStyle w:val="9"/>
        <w:widowControl w:val="0"/>
        <w:wordWrap/>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2.预算执行进度按财政资金的拨付进行，全年度一般公共预算财政拨款支出209.82万元，完成预算（调整数）100%。</w:t>
      </w:r>
    </w:p>
    <w:p w14:paraId="5EE36317">
      <w:pPr>
        <w:pStyle w:val="9"/>
        <w:widowControl w:val="0"/>
        <w:wordWrap/>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资金的拨付遵守各项规章制度、预算资金管理办法、内部财务管理制度、会计核算制度等管理制度。拨付有完整的审批过程和手续，符合部门预算批复的用途，预决算信息按规定时间和内容在规定网站统一公开。</w:t>
      </w:r>
    </w:p>
    <w:p w14:paraId="73F472EE">
      <w:pPr>
        <w:spacing w:line="560" w:lineRule="exact"/>
        <w:ind w:firstLine="643" w:firstLineChars="200"/>
        <w:rPr>
          <w:rFonts w:ascii="方正楷体_GBK" w:hAnsi="宋体" w:eastAsia="方正楷体_GBK" w:cs="仿宋_GB2312"/>
          <w:b/>
          <w:bCs/>
          <w:sz w:val="32"/>
          <w:szCs w:val="32"/>
        </w:rPr>
      </w:pPr>
      <w:r>
        <w:rPr>
          <w:rFonts w:hint="eastAsia" w:ascii="方正楷体_GBK" w:hAnsi="宋体" w:eastAsia="方正楷体_GBK" w:cs="仿宋_GB2312"/>
          <w:b/>
          <w:bCs/>
          <w:sz w:val="32"/>
          <w:szCs w:val="32"/>
        </w:rPr>
        <w:t>（</w:t>
      </w:r>
      <w:r>
        <w:rPr>
          <w:rFonts w:hint="eastAsia" w:ascii="方正楷体_GBK" w:hAnsi="宋体" w:eastAsia="方正楷体_GBK" w:cs="仿宋_GB2312"/>
          <w:b/>
          <w:bCs/>
          <w:sz w:val="32"/>
          <w:szCs w:val="32"/>
          <w:lang w:eastAsia="zh-CN"/>
        </w:rPr>
        <w:t>二</w:t>
      </w:r>
      <w:r>
        <w:rPr>
          <w:rFonts w:hint="eastAsia" w:ascii="方正楷体_GBK" w:hAnsi="宋体" w:eastAsia="方正楷体_GBK" w:cs="仿宋_GB2312"/>
          <w:b/>
          <w:bCs/>
          <w:sz w:val="32"/>
          <w:szCs w:val="32"/>
        </w:rPr>
        <w:t>）</w:t>
      </w:r>
      <w:r>
        <w:rPr>
          <w:rFonts w:hint="eastAsia" w:ascii="方正楷体_GBK" w:hAnsi="宋体" w:eastAsia="方正楷体_GBK" w:cs="仿宋_GB2312"/>
          <w:b/>
          <w:bCs/>
          <w:sz w:val="32"/>
          <w:szCs w:val="32"/>
          <w:lang w:eastAsia="zh-CN"/>
        </w:rPr>
        <w:t>项目</w:t>
      </w:r>
      <w:r>
        <w:rPr>
          <w:rFonts w:hint="eastAsia" w:ascii="方正楷体_GBK" w:hAnsi="宋体" w:eastAsia="方正楷体_GBK" w:cs="仿宋_GB2312"/>
          <w:b/>
          <w:bCs/>
          <w:sz w:val="32"/>
          <w:szCs w:val="32"/>
        </w:rPr>
        <w:t>预算管理</w:t>
      </w:r>
    </w:p>
    <w:p w14:paraId="53A700E0">
      <w:pPr>
        <w:pStyle w:val="9"/>
        <w:widowControl w:val="0"/>
        <w:wordWrap/>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我单位2022年度无项目预算。</w:t>
      </w:r>
    </w:p>
    <w:p w14:paraId="7A72CC3A">
      <w:pPr>
        <w:spacing w:line="560" w:lineRule="exact"/>
        <w:ind w:left="630" w:leftChars="300"/>
        <w:rPr>
          <w:rFonts w:ascii="方正楷体_GBK" w:hAnsi="宋体" w:eastAsia="方正楷体_GBK" w:cs="仿宋_GB2312"/>
          <w:b/>
          <w:bCs/>
          <w:sz w:val="32"/>
          <w:szCs w:val="32"/>
        </w:rPr>
      </w:pPr>
      <w:r>
        <w:rPr>
          <w:rFonts w:hint="eastAsia" w:ascii="方正楷体_GBK" w:hAnsi="宋体" w:eastAsia="方正楷体_GBK" w:cs="仿宋_GB2312"/>
          <w:b/>
          <w:bCs/>
          <w:sz w:val="32"/>
          <w:szCs w:val="32"/>
        </w:rPr>
        <w:t>（</w:t>
      </w:r>
      <w:r>
        <w:rPr>
          <w:rFonts w:hint="eastAsia" w:ascii="方正楷体_GBK" w:hAnsi="宋体" w:eastAsia="方正楷体_GBK" w:cs="仿宋_GB2312"/>
          <w:b/>
          <w:bCs/>
          <w:sz w:val="32"/>
          <w:szCs w:val="32"/>
          <w:lang w:eastAsia="zh-CN"/>
        </w:rPr>
        <w:t>三</w:t>
      </w:r>
      <w:r>
        <w:rPr>
          <w:rFonts w:hint="eastAsia" w:ascii="方正楷体_GBK" w:hAnsi="宋体" w:eastAsia="方正楷体_GBK" w:cs="仿宋_GB2312"/>
          <w:b/>
          <w:bCs/>
          <w:sz w:val="32"/>
          <w:szCs w:val="32"/>
        </w:rPr>
        <w:t>）结果应用情况</w:t>
      </w:r>
    </w:p>
    <w:p w14:paraId="1F3CB1D6">
      <w:pPr>
        <w:pStyle w:val="9"/>
        <w:widowControl w:val="0"/>
        <w:wordWrap/>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zh-CN" w:eastAsia="zh-CN"/>
        </w:rPr>
        <w:t>绩效自评公开按财政部门要求进行，对评价过程中发现的问题及时进行整改，并将结果运用于第二年的预算编制。结果的应用有效</w:t>
      </w:r>
      <w:r>
        <w:rPr>
          <w:rFonts w:hint="eastAsia" w:ascii="仿宋" w:hAnsi="仿宋" w:eastAsia="仿宋" w:cs="仿宋"/>
          <w:b w:val="0"/>
          <w:bCs w:val="0"/>
          <w:sz w:val="32"/>
          <w:szCs w:val="32"/>
          <w:lang w:val="en-US" w:eastAsia="zh-CN"/>
        </w:rPr>
        <w:t>促进土地资源的优化配置和有效利用，促进经济社会可持续影响，提升了服务对象的满意度。</w:t>
      </w:r>
    </w:p>
    <w:p w14:paraId="65612B73">
      <w:pPr>
        <w:pStyle w:val="24"/>
        <w:numPr>
          <w:ilvl w:val="0"/>
          <w:numId w:val="4"/>
        </w:numPr>
        <w:spacing w:line="560" w:lineRule="exact"/>
        <w:ind w:firstLineChars="0"/>
        <w:rPr>
          <w:rFonts w:ascii="方正黑体_GBK" w:hAnsi="宋体" w:eastAsia="方正黑体_GBK" w:cs="黑体"/>
          <w:bCs/>
          <w:sz w:val="32"/>
          <w:szCs w:val="32"/>
        </w:rPr>
      </w:pPr>
      <w:r>
        <w:rPr>
          <w:rFonts w:hint="eastAsia" w:ascii="方正黑体_GBK" w:hAnsi="宋体" w:eastAsia="方正黑体_GBK" w:cs="黑体"/>
          <w:bCs/>
          <w:sz w:val="32"/>
          <w:szCs w:val="32"/>
        </w:rPr>
        <w:t>评价结论及建议</w:t>
      </w:r>
    </w:p>
    <w:p w14:paraId="61BF0F09">
      <w:pPr>
        <w:spacing w:line="560" w:lineRule="exact"/>
        <w:ind w:firstLine="643" w:firstLineChars="200"/>
        <w:rPr>
          <w:rFonts w:ascii="方正楷体_GBK" w:hAnsi="宋体" w:eastAsia="方正楷体_GBK" w:cs="仿宋_GB2312"/>
          <w:b/>
          <w:bCs/>
          <w:sz w:val="32"/>
          <w:szCs w:val="32"/>
        </w:rPr>
      </w:pPr>
      <w:r>
        <w:rPr>
          <w:rFonts w:hint="eastAsia" w:ascii="方正楷体_GBK" w:hAnsi="宋体" w:eastAsia="方正楷体_GBK" w:cs="仿宋_GB2312"/>
          <w:b/>
          <w:bCs/>
          <w:sz w:val="32"/>
          <w:szCs w:val="32"/>
        </w:rPr>
        <w:t xml:space="preserve">（一）评价结论 </w:t>
      </w:r>
    </w:p>
    <w:p w14:paraId="2A36F61E">
      <w:pPr>
        <w:pStyle w:val="9"/>
        <w:widowControl w:val="0"/>
        <w:wordWrap/>
        <w:spacing w:line="560" w:lineRule="exact"/>
        <w:ind w:firstLine="640" w:firstLineChars="200"/>
        <w:textAlignment w:val="auto"/>
        <w:rPr>
          <w:rFonts w:hint="eastAsia" w:ascii="仿宋" w:hAnsi="仿宋" w:eastAsia="仿宋" w:cs="仿宋"/>
          <w:b w:val="0"/>
          <w:bCs w:val="0"/>
          <w:sz w:val="32"/>
          <w:szCs w:val="32"/>
          <w:lang w:val="zh-CN" w:eastAsia="zh-CN"/>
        </w:rPr>
      </w:pPr>
      <w:r>
        <w:rPr>
          <w:rFonts w:hint="eastAsia" w:ascii="仿宋" w:hAnsi="仿宋" w:eastAsia="仿宋" w:cs="仿宋"/>
          <w:b w:val="0"/>
          <w:bCs w:val="0"/>
          <w:sz w:val="32"/>
          <w:szCs w:val="32"/>
          <w:lang w:val="zh-CN" w:eastAsia="zh-CN"/>
        </w:rPr>
        <w:t>我单位积极履职，强化管理，完成了全年工作目标。部门整体支出管理水平得到较大提升。</w:t>
      </w:r>
    </w:p>
    <w:p w14:paraId="5FF102F9">
      <w:pPr>
        <w:spacing w:line="560" w:lineRule="exact"/>
        <w:ind w:firstLine="643" w:firstLineChars="200"/>
        <w:rPr>
          <w:rFonts w:ascii="方正楷体_GBK" w:hAnsi="宋体" w:eastAsia="方正楷体_GBK" w:cs="仿宋_GB2312"/>
          <w:b/>
          <w:bCs/>
          <w:sz w:val="32"/>
          <w:szCs w:val="32"/>
        </w:rPr>
      </w:pPr>
      <w:r>
        <w:rPr>
          <w:rFonts w:hint="eastAsia" w:ascii="方正楷体_GBK" w:hAnsi="宋体" w:eastAsia="方正楷体_GBK" w:cs="仿宋_GB2312"/>
          <w:b/>
          <w:bCs/>
          <w:sz w:val="32"/>
          <w:szCs w:val="32"/>
        </w:rPr>
        <w:t>（二）存在问题</w:t>
      </w:r>
    </w:p>
    <w:p w14:paraId="0920C228">
      <w:pPr>
        <w:pStyle w:val="9"/>
        <w:widowControl w:val="0"/>
        <w:wordWrap/>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评价结果运用不够，将绩效评价结果运用做得还不够到位。</w:t>
      </w:r>
    </w:p>
    <w:p w14:paraId="4CADF5D2">
      <w:pPr>
        <w:spacing w:line="560" w:lineRule="exact"/>
        <w:ind w:firstLine="643" w:firstLineChars="200"/>
        <w:rPr>
          <w:rFonts w:ascii="方正楷体_GBK" w:hAnsi="宋体" w:eastAsia="方正楷体_GBK" w:cs="仿宋_GB2312"/>
          <w:b/>
          <w:bCs/>
          <w:sz w:val="32"/>
          <w:szCs w:val="32"/>
        </w:rPr>
      </w:pPr>
      <w:r>
        <w:rPr>
          <w:rFonts w:hint="eastAsia" w:ascii="方正楷体_GBK" w:hAnsi="宋体" w:eastAsia="方正楷体_GBK" w:cs="仿宋_GB2312"/>
          <w:b/>
          <w:bCs/>
          <w:sz w:val="32"/>
          <w:szCs w:val="32"/>
        </w:rPr>
        <w:t>（三）改进建议</w:t>
      </w:r>
    </w:p>
    <w:p w14:paraId="7036386F">
      <w:pPr>
        <w:pStyle w:val="9"/>
        <w:widowControl w:val="0"/>
        <w:wordWrap/>
        <w:spacing w:line="560" w:lineRule="exact"/>
        <w:ind w:firstLine="640" w:firstLineChars="200"/>
        <w:textAlignment w:val="auto"/>
        <w:rPr>
          <w:rFonts w:hint="eastAsia" w:ascii="仿宋" w:hAnsi="仿宋" w:eastAsia="仿宋" w:cs="仿宋"/>
          <w:b w:val="0"/>
          <w:bCs w:val="0"/>
          <w:sz w:val="32"/>
          <w:szCs w:val="32"/>
          <w:lang w:val="zh-CN" w:eastAsia="zh-CN"/>
        </w:rPr>
      </w:pPr>
      <w:r>
        <w:rPr>
          <w:rFonts w:hint="eastAsia" w:ascii="仿宋" w:hAnsi="仿宋" w:eastAsia="仿宋" w:cs="仿宋"/>
          <w:b w:val="0"/>
          <w:bCs w:val="0"/>
          <w:sz w:val="32"/>
          <w:szCs w:val="32"/>
          <w:lang w:val="zh-CN" w:eastAsia="zh-CN"/>
        </w:rPr>
        <w:t>突出结果运用。不断完善预算资金拨付、使用等环节的管理措施。</w:t>
      </w:r>
    </w:p>
    <w:p w14:paraId="0FE39794">
      <w:pPr>
        <w:pStyle w:val="9"/>
        <w:widowControl w:val="0"/>
        <w:wordWrap/>
        <w:spacing w:line="560" w:lineRule="exact"/>
        <w:ind w:firstLine="640" w:firstLineChars="200"/>
        <w:textAlignment w:val="auto"/>
        <w:rPr>
          <w:rFonts w:hint="eastAsia" w:ascii="仿宋" w:hAnsi="仿宋" w:eastAsia="仿宋" w:cs="仿宋"/>
          <w:b w:val="0"/>
          <w:bCs w:val="0"/>
          <w:sz w:val="32"/>
          <w:szCs w:val="32"/>
          <w:lang w:val="zh-CN" w:eastAsia="zh-CN"/>
        </w:rPr>
      </w:pPr>
    </w:p>
    <w:p w14:paraId="6E73E1E0">
      <w:pPr>
        <w:pStyle w:val="14"/>
        <w:numPr>
          <w:ilvl w:val="0"/>
          <w:numId w:val="0"/>
        </w:numPr>
        <w:wordWrap/>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仿宋" w:hAnsi="仿宋" w:eastAsia="仿宋" w:cs="仿宋"/>
          <w:b w:val="0"/>
          <w:bCs w:val="0"/>
          <w:kern w:val="0"/>
          <w:sz w:val="32"/>
          <w:szCs w:val="32"/>
          <w:lang w:val="zh-CN" w:eastAsia="zh-CN" w:bidi="ar-SA"/>
        </w:rPr>
        <w:t>附表：</w:t>
      </w:r>
      <w:r>
        <w:rPr>
          <w:rFonts w:hint="default" w:ascii="仿宋" w:hAnsi="仿宋" w:eastAsia="仿宋" w:cs="仿宋"/>
          <w:b w:val="0"/>
          <w:bCs w:val="0"/>
          <w:kern w:val="0"/>
          <w:sz w:val="32"/>
          <w:szCs w:val="32"/>
          <w:lang w:val="en-US" w:eastAsia="zh-CN" w:bidi="ar-SA"/>
        </w:rPr>
        <w:t>部门预算项目支出绩效自评表（2022年度）</w:t>
      </w:r>
    </w:p>
    <w:tbl>
      <w:tblPr>
        <w:tblStyle w:val="15"/>
        <w:tblW w:w="8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080"/>
        <w:gridCol w:w="660"/>
        <w:gridCol w:w="660"/>
        <w:gridCol w:w="660"/>
        <w:gridCol w:w="660"/>
        <w:gridCol w:w="660"/>
        <w:gridCol w:w="660"/>
        <w:gridCol w:w="660"/>
        <w:gridCol w:w="660"/>
        <w:gridCol w:w="660"/>
      </w:tblGrid>
      <w:tr w14:paraId="61F76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100" w:type="dxa"/>
            <w:gridSpan w:val="11"/>
            <w:tcBorders>
              <w:top w:val="single" w:color="000000" w:sz="4" w:space="0"/>
              <w:left w:val="single" w:color="000000" w:sz="4" w:space="0"/>
              <w:bottom w:val="single" w:color="000000" w:sz="4" w:space="0"/>
              <w:right w:val="single" w:color="000000" w:sz="4" w:space="0"/>
            </w:tcBorders>
            <w:vAlign w:val="center"/>
          </w:tcPr>
          <w:p w14:paraId="0C57C899">
            <w:pPr>
              <w:widowControl/>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部门预算项目支出绩效自评表（2022年度）</w:t>
            </w:r>
          </w:p>
        </w:tc>
      </w:tr>
      <w:tr w14:paraId="02129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60" w:type="dxa"/>
            <w:gridSpan w:val="2"/>
            <w:tcBorders>
              <w:top w:val="single" w:color="000000" w:sz="4" w:space="0"/>
              <w:left w:val="single" w:color="000000" w:sz="4" w:space="0"/>
              <w:bottom w:val="single" w:color="000000" w:sz="4" w:space="0"/>
              <w:right w:val="single" w:color="000000" w:sz="4" w:space="0"/>
            </w:tcBorders>
            <w:vAlign w:val="center"/>
          </w:tcPr>
          <w:p w14:paraId="159EEF17">
            <w:pPr>
              <w:widowControl/>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5940" w:type="dxa"/>
            <w:gridSpan w:val="9"/>
            <w:tcBorders>
              <w:top w:val="single" w:color="000000" w:sz="4" w:space="0"/>
              <w:left w:val="single" w:color="000000" w:sz="4" w:space="0"/>
              <w:bottom w:val="single" w:color="000000" w:sz="4" w:space="0"/>
              <w:right w:val="single" w:color="000000" w:sz="4" w:space="0"/>
            </w:tcBorders>
            <w:vAlign w:val="center"/>
          </w:tcPr>
          <w:p w14:paraId="3E28B7B7">
            <w:pPr>
              <w:rPr>
                <w:rFonts w:hint="eastAsia" w:ascii="宋体" w:hAnsi="宋体" w:eastAsia="宋体" w:cs="宋体"/>
                <w:i w:val="0"/>
                <w:iCs w:val="0"/>
                <w:color w:val="000000"/>
                <w:sz w:val="18"/>
                <w:szCs w:val="18"/>
                <w:u w:val="none"/>
              </w:rPr>
            </w:pPr>
          </w:p>
        </w:tc>
      </w:tr>
      <w:tr w14:paraId="1C3B6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160" w:type="dxa"/>
            <w:gridSpan w:val="2"/>
            <w:tcBorders>
              <w:top w:val="single" w:color="000000" w:sz="4" w:space="0"/>
              <w:left w:val="single" w:color="000000" w:sz="4" w:space="0"/>
              <w:bottom w:val="single" w:color="000000" w:sz="4" w:space="0"/>
              <w:right w:val="single" w:color="000000" w:sz="4" w:space="0"/>
            </w:tcBorders>
            <w:vAlign w:val="center"/>
          </w:tcPr>
          <w:p w14:paraId="0573AA5A">
            <w:pPr>
              <w:widowControl/>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3300" w:type="dxa"/>
            <w:gridSpan w:val="5"/>
            <w:tcBorders>
              <w:top w:val="single" w:color="000000" w:sz="4" w:space="0"/>
              <w:left w:val="single" w:color="000000" w:sz="4" w:space="0"/>
              <w:bottom w:val="single" w:color="000000" w:sz="4" w:space="0"/>
              <w:right w:val="single" w:color="000000" w:sz="4" w:space="0"/>
            </w:tcBorders>
            <w:vAlign w:val="center"/>
          </w:tcPr>
          <w:p w14:paraId="54864C0D">
            <w:pPr>
              <w:rPr>
                <w:rFonts w:hint="eastAsia" w:ascii="宋体" w:hAnsi="宋体" w:eastAsia="宋体" w:cs="宋体"/>
                <w:i w:val="0"/>
                <w:iCs w:val="0"/>
                <w:color w:val="000000"/>
                <w:sz w:val="18"/>
                <w:szCs w:val="18"/>
                <w:u w:val="none"/>
              </w:rPr>
            </w:pPr>
          </w:p>
        </w:tc>
        <w:tc>
          <w:tcPr>
            <w:tcW w:w="660" w:type="dxa"/>
            <w:tcBorders>
              <w:top w:val="nil"/>
              <w:left w:val="nil"/>
              <w:bottom w:val="nil"/>
              <w:right w:val="nil"/>
            </w:tcBorders>
            <w:vAlign w:val="center"/>
          </w:tcPr>
          <w:p w14:paraId="7CED010F">
            <w:pPr>
              <w:widowControl/>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1980" w:type="dxa"/>
            <w:gridSpan w:val="3"/>
            <w:tcBorders>
              <w:top w:val="single" w:color="000000" w:sz="4" w:space="0"/>
              <w:left w:val="single" w:color="000000" w:sz="4" w:space="0"/>
              <w:bottom w:val="single" w:color="000000" w:sz="4" w:space="0"/>
              <w:right w:val="single" w:color="000000" w:sz="4" w:space="0"/>
            </w:tcBorders>
            <w:vAlign w:val="center"/>
          </w:tcPr>
          <w:p w14:paraId="1DED95EC">
            <w:pPr>
              <w:jc w:val="center"/>
              <w:rPr>
                <w:rFonts w:hint="eastAsia" w:ascii="宋体" w:hAnsi="宋体" w:eastAsia="宋体" w:cs="宋体"/>
                <w:i w:val="0"/>
                <w:iCs w:val="0"/>
                <w:color w:val="000000"/>
                <w:sz w:val="18"/>
                <w:szCs w:val="18"/>
                <w:u w:val="none"/>
              </w:rPr>
            </w:pPr>
          </w:p>
        </w:tc>
      </w:tr>
      <w:tr w14:paraId="61F0D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08A55955">
            <w:pPr>
              <w:widowControl/>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08BFBCA7">
            <w:pPr>
              <w:widowControl/>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3300" w:type="dxa"/>
            <w:gridSpan w:val="5"/>
            <w:tcBorders>
              <w:top w:val="single" w:color="000000" w:sz="4" w:space="0"/>
              <w:left w:val="single" w:color="000000" w:sz="4" w:space="0"/>
              <w:bottom w:val="single" w:color="000000" w:sz="4" w:space="0"/>
              <w:right w:val="single" w:color="000000" w:sz="4" w:space="0"/>
            </w:tcBorders>
            <w:vAlign w:val="center"/>
          </w:tcPr>
          <w:p w14:paraId="3B6A8CC3">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2640" w:type="dxa"/>
            <w:gridSpan w:val="4"/>
            <w:tcBorders>
              <w:top w:val="single" w:color="000000" w:sz="4" w:space="0"/>
              <w:left w:val="single" w:color="000000" w:sz="4" w:space="0"/>
              <w:bottom w:val="single" w:color="000000" w:sz="4" w:space="0"/>
              <w:right w:val="single" w:color="000000" w:sz="4" w:space="0"/>
            </w:tcBorders>
            <w:vAlign w:val="center"/>
          </w:tcPr>
          <w:p w14:paraId="0A48BC9D">
            <w:pPr>
              <w:widowControl/>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4593A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70A23F3C">
            <w:pP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534ABD3C">
            <w:pPr>
              <w:rPr>
                <w:rFonts w:hint="eastAsia" w:ascii="宋体" w:hAnsi="宋体" w:eastAsia="宋体" w:cs="宋体"/>
                <w:i w:val="0"/>
                <w:iCs w:val="0"/>
                <w:color w:val="000000"/>
                <w:sz w:val="18"/>
                <w:szCs w:val="18"/>
                <w:u w:val="none"/>
              </w:rPr>
            </w:pPr>
          </w:p>
        </w:tc>
        <w:tc>
          <w:tcPr>
            <w:tcW w:w="3300" w:type="dxa"/>
            <w:gridSpan w:val="5"/>
            <w:tcBorders>
              <w:top w:val="single" w:color="000000" w:sz="4" w:space="0"/>
              <w:left w:val="single" w:color="000000" w:sz="4" w:space="0"/>
              <w:bottom w:val="single" w:color="000000" w:sz="4" w:space="0"/>
              <w:right w:val="single" w:color="000000" w:sz="4" w:space="0"/>
            </w:tcBorders>
            <w:vAlign w:val="center"/>
          </w:tcPr>
          <w:p w14:paraId="31F72439">
            <w:pPr>
              <w:rPr>
                <w:rFonts w:hint="eastAsia" w:ascii="宋体" w:hAnsi="宋体" w:eastAsia="宋体" w:cs="宋体"/>
                <w:i w:val="0"/>
                <w:iCs w:val="0"/>
                <w:color w:val="000000"/>
                <w:sz w:val="18"/>
                <w:szCs w:val="18"/>
                <w:u w:val="none"/>
              </w:rPr>
            </w:pPr>
          </w:p>
        </w:tc>
        <w:tc>
          <w:tcPr>
            <w:tcW w:w="2640" w:type="dxa"/>
            <w:gridSpan w:val="4"/>
            <w:tcBorders>
              <w:top w:val="single" w:color="000000" w:sz="4" w:space="0"/>
              <w:left w:val="single" w:color="000000" w:sz="4" w:space="0"/>
              <w:bottom w:val="single" w:color="000000" w:sz="4" w:space="0"/>
              <w:right w:val="single" w:color="000000" w:sz="4" w:space="0"/>
            </w:tcBorders>
            <w:vAlign w:val="center"/>
          </w:tcPr>
          <w:p w14:paraId="0053F1C3">
            <w:pPr>
              <w:rPr>
                <w:rFonts w:hint="eastAsia" w:ascii="黑体" w:hAnsi="黑体" w:eastAsia="黑体" w:cs="黑体"/>
                <w:i w:val="0"/>
                <w:iCs w:val="0"/>
                <w:color w:val="000000"/>
                <w:sz w:val="18"/>
                <w:szCs w:val="18"/>
                <w:u w:val="none"/>
              </w:rPr>
            </w:pPr>
          </w:p>
        </w:tc>
      </w:tr>
      <w:tr w14:paraId="0586F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7B37E2B8">
            <w:pP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54D2A571">
            <w:pPr>
              <w:widowControl/>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5940" w:type="dxa"/>
            <w:gridSpan w:val="9"/>
            <w:tcBorders>
              <w:top w:val="single" w:color="000000" w:sz="4" w:space="0"/>
              <w:left w:val="single" w:color="000000" w:sz="4" w:space="0"/>
              <w:bottom w:val="single" w:color="000000" w:sz="4" w:space="0"/>
              <w:right w:val="single" w:color="000000" w:sz="4" w:space="0"/>
            </w:tcBorders>
            <w:vAlign w:val="center"/>
          </w:tcPr>
          <w:p w14:paraId="1FD7A636">
            <w:pPr>
              <w:rPr>
                <w:rFonts w:hint="eastAsia" w:ascii="宋体" w:hAnsi="宋体" w:eastAsia="宋体" w:cs="宋体"/>
                <w:i w:val="0"/>
                <w:iCs w:val="0"/>
                <w:color w:val="000000"/>
                <w:sz w:val="18"/>
                <w:szCs w:val="18"/>
                <w:u w:val="none"/>
              </w:rPr>
            </w:pPr>
          </w:p>
        </w:tc>
      </w:tr>
      <w:tr w14:paraId="2F69A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307D6C41">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1080" w:type="dxa"/>
            <w:tcBorders>
              <w:top w:val="single" w:color="000000" w:sz="4" w:space="0"/>
              <w:left w:val="single" w:color="000000" w:sz="4" w:space="0"/>
              <w:bottom w:val="single" w:color="000000" w:sz="4" w:space="0"/>
              <w:right w:val="single" w:color="000000" w:sz="4" w:space="0"/>
            </w:tcBorders>
            <w:vAlign w:val="center"/>
          </w:tcPr>
          <w:p w14:paraId="41DA5F61">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660" w:type="dxa"/>
            <w:tcBorders>
              <w:top w:val="single" w:color="000000" w:sz="4" w:space="0"/>
              <w:left w:val="single" w:color="000000" w:sz="4" w:space="0"/>
              <w:bottom w:val="single" w:color="000000" w:sz="4" w:space="0"/>
              <w:right w:val="single" w:color="000000" w:sz="4" w:space="0"/>
            </w:tcBorders>
            <w:vAlign w:val="center"/>
          </w:tcPr>
          <w:p w14:paraId="1002F209">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660" w:type="dxa"/>
            <w:tcBorders>
              <w:top w:val="single" w:color="000000" w:sz="4" w:space="0"/>
              <w:left w:val="single" w:color="000000" w:sz="4" w:space="0"/>
              <w:bottom w:val="single" w:color="000000" w:sz="4" w:space="0"/>
              <w:right w:val="single" w:color="000000" w:sz="4" w:space="0"/>
            </w:tcBorders>
            <w:vAlign w:val="center"/>
          </w:tcPr>
          <w:p w14:paraId="34186A6A">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1980" w:type="dxa"/>
            <w:gridSpan w:val="3"/>
            <w:tcBorders>
              <w:top w:val="single" w:color="000000" w:sz="4" w:space="0"/>
              <w:left w:val="single" w:color="000000" w:sz="4" w:space="0"/>
              <w:bottom w:val="single" w:color="000000" w:sz="4" w:space="0"/>
              <w:right w:val="single" w:color="000000" w:sz="4" w:space="0"/>
            </w:tcBorders>
            <w:vAlign w:val="center"/>
          </w:tcPr>
          <w:p w14:paraId="06198E58">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660" w:type="dxa"/>
            <w:tcBorders>
              <w:top w:val="single" w:color="000000" w:sz="4" w:space="0"/>
              <w:left w:val="single" w:color="000000" w:sz="4" w:space="0"/>
              <w:bottom w:val="single" w:color="000000" w:sz="4" w:space="0"/>
              <w:right w:val="single" w:color="000000" w:sz="4" w:space="0"/>
            </w:tcBorders>
            <w:vAlign w:val="center"/>
          </w:tcPr>
          <w:p w14:paraId="5ED45486">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660" w:type="dxa"/>
            <w:tcBorders>
              <w:top w:val="single" w:color="000000" w:sz="4" w:space="0"/>
              <w:left w:val="single" w:color="000000" w:sz="4" w:space="0"/>
              <w:bottom w:val="single" w:color="000000" w:sz="4" w:space="0"/>
              <w:right w:val="single" w:color="000000" w:sz="4" w:space="0"/>
            </w:tcBorders>
            <w:vAlign w:val="center"/>
          </w:tcPr>
          <w:p w14:paraId="54A88F6C">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660" w:type="dxa"/>
            <w:tcBorders>
              <w:top w:val="single" w:color="000000" w:sz="4" w:space="0"/>
              <w:left w:val="single" w:color="000000" w:sz="4" w:space="0"/>
              <w:bottom w:val="single" w:color="000000" w:sz="4" w:space="0"/>
              <w:right w:val="single" w:color="000000" w:sz="4" w:space="0"/>
            </w:tcBorders>
            <w:vAlign w:val="center"/>
          </w:tcPr>
          <w:p w14:paraId="67021062">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660" w:type="dxa"/>
            <w:tcBorders>
              <w:top w:val="single" w:color="000000" w:sz="4" w:space="0"/>
              <w:left w:val="single" w:color="000000" w:sz="4" w:space="0"/>
              <w:bottom w:val="single" w:color="000000" w:sz="4" w:space="0"/>
              <w:right w:val="single" w:color="000000" w:sz="4" w:space="0"/>
            </w:tcBorders>
            <w:vAlign w:val="center"/>
          </w:tcPr>
          <w:p w14:paraId="0DEE9F56">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678C7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398F7BE2">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44A6AAE3">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660" w:type="dxa"/>
            <w:tcBorders>
              <w:top w:val="single" w:color="000000" w:sz="4" w:space="0"/>
              <w:left w:val="single" w:color="000000" w:sz="4" w:space="0"/>
              <w:bottom w:val="single" w:color="000000" w:sz="4" w:space="0"/>
              <w:right w:val="single" w:color="000000" w:sz="4" w:space="0"/>
            </w:tcBorders>
            <w:vAlign w:val="center"/>
          </w:tcPr>
          <w:p w14:paraId="78FD8660">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CF2850C">
            <w:pPr>
              <w:jc w:val="center"/>
              <w:rPr>
                <w:rFonts w:hint="eastAsia" w:ascii="宋体" w:hAnsi="宋体" w:eastAsia="宋体" w:cs="宋体"/>
                <w:i w:val="0"/>
                <w:iCs w:val="0"/>
                <w:color w:val="000000"/>
                <w:sz w:val="18"/>
                <w:szCs w:val="18"/>
                <w:u w:val="none"/>
              </w:rPr>
            </w:pPr>
          </w:p>
        </w:tc>
        <w:tc>
          <w:tcPr>
            <w:tcW w:w="1980" w:type="dxa"/>
            <w:gridSpan w:val="3"/>
            <w:tcBorders>
              <w:top w:val="single" w:color="000000" w:sz="4" w:space="0"/>
              <w:left w:val="single" w:color="000000" w:sz="4" w:space="0"/>
              <w:bottom w:val="single" w:color="000000" w:sz="4" w:space="0"/>
              <w:right w:val="single" w:color="000000" w:sz="4" w:space="0"/>
            </w:tcBorders>
            <w:vAlign w:val="center"/>
          </w:tcPr>
          <w:p w14:paraId="4BF73683">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3AF167F3">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5F2B78F">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F2EE6DD">
            <w:pPr>
              <w:jc w:val="center"/>
              <w:rPr>
                <w:rFonts w:hint="eastAsia" w:ascii="宋体" w:hAnsi="宋体" w:eastAsia="宋体" w:cs="宋体"/>
                <w:i w:val="0"/>
                <w:iCs w:val="0"/>
                <w:color w:val="000000"/>
                <w:sz w:val="18"/>
                <w:szCs w:val="18"/>
                <w:u w:val="none"/>
              </w:rPr>
            </w:pPr>
          </w:p>
        </w:tc>
        <w:tc>
          <w:tcPr>
            <w:tcW w:w="660" w:type="dxa"/>
            <w:vMerge w:val="restart"/>
            <w:tcBorders>
              <w:top w:val="single" w:color="000000" w:sz="4" w:space="0"/>
              <w:left w:val="single" w:color="000000" w:sz="4" w:space="0"/>
              <w:bottom w:val="single" w:color="000000" w:sz="4" w:space="0"/>
              <w:right w:val="single" w:color="000000" w:sz="4" w:space="0"/>
            </w:tcBorders>
            <w:vAlign w:val="center"/>
          </w:tcPr>
          <w:p w14:paraId="53989789">
            <w:pPr>
              <w:rPr>
                <w:rFonts w:hint="eastAsia" w:ascii="黑体" w:hAnsi="黑体" w:eastAsia="黑体" w:cs="黑体"/>
                <w:i/>
                <w:iCs/>
                <w:color w:val="000000"/>
                <w:sz w:val="18"/>
                <w:szCs w:val="18"/>
                <w:u w:val="none"/>
              </w:rPr>
            </w:pPr>
          </w:p>
        </w:tc>
      </w:tr>
      <w:tr w14:paraId="19087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6E9CE431">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0E35B8C0">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660" w:type="dxa"/>
            <w:tcBorders>
              <w:top w:val="single" w:color="000000" w:sz="4" w:space="0"/>
              <w:left w:val="single" w:color="000000" w:sz="4" w:space="0"/>
              <w:bottom w:val="single" w:color="000000" w:sz="4" w:space="0"/>
              <w:right w:val="single" w:color="000000" w:sz="4" w:space="0"/>
            </w:tcBorders>
            <w:vAlign w:val="center"/>
          </w:tcPr>
          <w:p w14:paraId="4D572266">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8317FD3">
            <w:pPr>
              <w:jc w:val="center"/>
              <w:rPr>
                <w:rFonts w:hint="eastAsia" w:ascii="宋体" w:hAnsi="宋体" w:eastAsia="宋体" w:cs="宋体"/>
                <w:i w:val="0"/>
                <w:iCs w:val="0"/>
                <w:color w:val="000000"/>
                <w:sz w:val="18"/>
                <w:szCs w:val="18"/>
                <w:u w:val="none"/>
              </w:rPr>
            </w:pPr>
          </w:p>
        </w:tc>
        <w:tc>
          <w:tcPr>
            <w:tcW w:w="1980" w:type="dxa"/>
            <w:gridSpan w:val="3"/>
            <w:tcBorders>
              <w:top w:val="single" w:color="000000" w:sz="4" w:space="0"/>
              <w:left w:val="single" w:color="000000" w:sz="4" w:space="0"/>
              <w:bottom w:val="single" w:color="000000" w:sz="4" w:space="0"/>
              <w:right w:val="single" w:color="000000" w:sz="4" w:space="0"/>
            </w:tcBorders>
            <w:vAlign w:val="center"/>
          </w:tcPr>
          <w:p w14:paraId="30A38E0B">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FBE5A40">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75B8D1E">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E5597F8">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201EDB71">
            <w:pPr>
              <w:rPr>
                <w:rFonts w:hint="eastAsia" w:ascii="黑体" w:hAnsi="黑体" w:eastAsia="黑体" w:cs="黑体"/>
                <w:i/>
                <w:iCs/>
                <w:color w:val="000000"/>
                <w:sz w:val="18"/>
                <w:szCs w:val="18"/>
                <w:u w:val="none"/>
              </w:rPr>
            </w:pPr>
          </w:p>
        </w:tc>
      </w:tr>
      <w:tr w14:paraId="50EB5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672F3F18">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54612D50">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660" w:type="dxa"/>
            <w:tcBorders>
              <w:top w:val="single" w:color="000000" w:sz="4" w:space="0"/>
              <w:left w:val="single" w:color="000000" w:sz="4" w:space="0"/>
              <w:bottom w:val="single" w:color="000000" w:sz="4" w:space="0"/>
              <w:right w:val="single" w:color="000000" w:sz="4" w:space="0"/>
            </w:tcBorders>
            <w:vAlign w:val="center"/>
          </w:tcPr>
          <w:p w14:paraId="4EF521B1">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F71BCF9">
            <w:pPr>
              <w:jc w:val="center"/>
              <w:rPr>
                <w:rFonts w:hint="eastAsia" w:ascii="宋体" w:hAnsi="宋体" w:eastAsia="宋体" w:cs="宋体"/>
                <w:i w:val="0"/>
                <w:iCs w:val="0"/>
                <w:color w:val="000000"/>
                <w:sz w:val="18"/>
                <w:szCs w:val="18"/>
                <w:u w:val="none"/>
              </w:rPr>
            </w:pPr>
          </w:p>
        </w:tc>
        <w:tc>
          <w:tcPr>
            <w:tcW w:w="1980" w:type="dxa"/>
            <w:gridSpan w:val="3"/>
            <w:tcBorders>
              <w:top w:val="single" w:color="000000" w:sz="4" w:space="0"/>
              <w:left w:val="single" w:color="000000" w:sz="4" w:space="0"/>
              <w:bottom w:val="single" w:color="000000" w:sz="4" w:space="0"/>
              <w:right w:val="single" w:color="000000" w:sz="4" w:space="0"/>
            </w:tcBorders>
            <w:vAlign w:val="center"/>
          </w:tcPr>
          <w:p w14:paraId="7AC2C1DF">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B940596">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6B0C6C6F">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858358F">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01D4A080">
            <w:pPr>
              <w:rPr>
                <w:rFonts w:hint="eastAsia" w:ascii="黑体" w:hAnsi="黑体" w:eastAsia="黑体" w:cs="黑体"/>
                <w:i/>
                <w:iCs/>
                <w:color w:val="000000"/>
                <w:sz w:val="18"/>
                <w:szCs w:val="18"/>
                <w:u w:val="none"/>
              </w:rPr>
            </w:pPr>
          </w:p>
        </w:tc>
      </w:tr>
      <w:tr w14:paraId="3215C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0D580EB9">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65FA7A09">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660" w:type="dxa"/>
            <w:tcBorders>
              <w:top w:val="single" w:color="000000" w:sz="4" w:space="0"/>
              <w:left w:val="single" w:color="000000" w:sz="4" w:space="0"/>
              <w:bottom w:val="single" w:color="000000" w:sz="4" w:space="0"/>
              <w:right w:val="single" w:color="000000" w:sz="4" w:space="0"/>
            </w:tcBorders>
            <w:vAlign w:val="center"/>
          </w:tcPr>
          <w:p w14:paraId="0CEF8EC8">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F8E4D74">
            <w:pPr>
              <w:jc w:val="center"/>
              <w:rPr>
                <w:rFonts w:hint="eastAsia" w:ascii="宋体" w:hAnsi="宋体" w:eastAsia="宋体" w:cs="宋体"/>
                <w:i w:val="0"/>
                <w:iCs w:val="0"/>
                <w:color w:val="000000"/>
                <w:sz w:val="18"/>
                <w:szCs w:val="18"/>
                <w:u w:val="none"/>
              </w:rPr>
            </w:pPr>
          </w:p>
        </w:tc>
        <w:tc>
          <w:tcPr>
            <w:tcW w:w="1980" w:type="dxa"/>
            <w:gridSpan w:val="3"/>
            <w:tcBorders>
              <w:top w:val="single" w:color="000000" w:sz="4" w:space="0"/>
              <w:left w:val="single" w:color="000000" w:sz="4" w:space="0"/>
              <w:bottom w:val="single" w:color="000000" w:sz="4" w:space="0"/>
              <w:right w:val="single" w:color="000000" w:sz="4" w:space="0"/>
            </w:tcBorders>
            <w:vAlign w:val="center"/>
          </w:tcPr>
          <w:p w14:paraId="334EBA97">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3D3EC89">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66EA16F">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D97DA07">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7E55F9B7">
            <w:pPr>
              <w:rPr>
                <w:rFonts w:hint="eastAsia" w:ascii="黑体" w:hAnsi="黑体" w:eastAsia="黑体" w:cs="黑体"/>
                <w:i/>
                <w:iCs/>
                <w:color w:val="000000"/>
                <w:sz w:val="18"/>
                <w:szCs w:val="18"/>
                <w:u w:val="none"/>
              </w:rPr>
            </w:pPr>
          </w:p>
        </w:tc>
      </w:tr>
      <w:tr w14:paraId="72CB9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588C92B2">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618E9DB9">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660" w:type="dxa"/>
            <w:tcBorders>
              <w:top w:val="single" w:color="000000" w:sz="4" w:space="0"/>
              <w:left w:val="single" w:color="000000" w:sz="4" w:space="0"/>
              <w:bottom w:val="single" w:color="000000" w:sz="4" w:space="0"/>
              <w:right w:val="single" w:color="000000" w:sz="4" w:space="0"/>
            </w:tcBorders>
            <w:vAlign w:val="center"/>
          </w:tcPr>
          <w:p w14:paraId="702F8CE1">
            <w:pPr>
              <w:jc w:val="center"/>
              <w:rPr>
                <w:rFonts w:hint="eastAsia" w:ascii="微软雅黑" w:hAnsi="微软雅黑" w:eastAsia="微软雅黑" w:cs="微软雅黑"/>
                <w:i/>
                <w:iCs/>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8F6D57C">
            <w:pPr>
              <w:jc w:val="center"/>
              <w:rPr>
                <w:rFonts w:hint="eastAsia" w:ascii="微软雅黑" w:hAnsi="微软雅黑" w:eastAsia="微软雅黑" w:cs="微软雅黑"/>
                <w:i/>
                <w:iCs/>
                <w:color w:val="000000"/>
                <w:sz w:val="16"/>
                <w:szCs w:val="16"/>
                <w:u w:val="none"/>
              </w:rPr>
            </w:pPr>
          </w:p>
        </w:tc>
        <w:tc>
          <w:tcPr>
            <w:tcW w:w="1980" w:type="dxa"/>
            <w:gridSpan w:val="3"/>
            <w:tcBorders>
              <w:top w:val="single" w:color="000000" w:sz="4" w:space="0"/>
              <w:left w:val="single" w:color="000000" w:sz="4" w:space="0"/>
              <w:bottom w:val="single" w:color="000000" w:sz="4" w:space="0"/>
              <w:right w:val="single" w:color="000000" w:sz="4" w:space="0"/>
            </w:tcBorders>
            <w:vAlign w:val="center"/>
          </w:tcPr>
          <w:p w14:paraId="4F81394A">
            <w:pPr>
              <w:jc w:val="center"/>
              <w:rPr>
                <w:rFonts w:hint="eastAsia" w:ascii="微软雅黑" w:hAnsi="微软雅黑" w:eastAsia="微软雅黑" w:cs="微软雅黑"/>
                <w:i/>
                <w:iCs/>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874AE1E">
            <w:pPr>
              <w:jc w:val="center"/>
              <w:rPr>
                <w:rFonts w:hint="eastAsia" w:ascii="微软雅黑" w:hAnsi="微软雅黑" w:eastAsia="微软雅黑" w:cs="微软雅黑"/>
                <w:i/>
                <w:iCs/>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6BC399CA">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644FF1E0">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5A43FA36">
            <w:pPr>
              <w:rPr>
                <w:rFonts w:hint="eastAsia" w:ascii="黑体" w:hAnsi="黑体" w:eastAsia="黑体" w:cs="黑体"/>
                <w:i/>
                <w:iCs/>
                <w:color w:val="000000"/>
                <w:sz w:val="18"/>
                <w:szCs w:val="18"/>
                <w:u w:val="none"/>
              </w:rPr>
            </w:pPr>
          </w:p>
        </w:tc>
      </w:tr>
      <w:tr w14:paraId="43B2D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0D3E99AB">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1080" w:type="dxa"/>
            <w:tcBorders>
              <w:top w:val="single" w:color="000000" w:sz="4" w:space="0"/>
              <w:left w:val="single" w:color="000000" w:sz="4" w:space="0"/>
              <w:bottom w:val="single" w:color="000000" w:sz="4" w:space="0"/>
              <w:right w:val="single" w:color="000000" w:sz="4" w:space="0"/>
            </w:tcBorders>
            <w:vAlign w:val="center"/>
          </w:tcPr>
          <w:p w14:paraId="454F6E25">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660" w:type="dxa"/>
            <w:tcBorders>
              <w:top w:val="single" w:color="000000" w:sz="4" w:space="0"/>
              <w:left w:val="single" w:color="000000" w:sz="4" w:space="0"/>
              <w:bottom w:val="single" w:color="000000" w:sz="4" w:space="0"/>
              <w:right w:val="single" w:color="000000" w:sz="4" w:space="0"/>
            </w:tcBorders>
            <w:vAlign w:val="center"/>
          </w:tcPr>
          <w:p w14:paraId="49E01B10">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660" w:type="dxa"/>
            <w:tcBorders>
              <w:top w:val="single" w:color="000000" w:sz="4" w:space="0"/>
              <w:left w:val="single" w:color="000000" w:sz="4" w:space="0"/>
              <w:bottom w:val="single" w:color="000000" w:sz="4" w:space="0"/>
              <w:right w:val="single" w:color="000000" w:sz="4" w:space="0"/>
            </w:tcBorders>
            <w:vAlign w:val="center"/>
          </w:tcPr>
          <w:p w14:paraId="7469BA86">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660" w:type="dxa"/>
            <w:tcBorders>
              <w:top w:val="single" w:color="000000" w:sz="4" w:space="0"/>
              <w:left w:val="single" w:color="000000" w:sz="4" w:space="0"/>
              <w:bottom w:val="single" w:color="000000" w:sz="4" w:space="0"/>
              <w:right w:val="single" w:color="000000" w:sz="4" w:space="0"/>
            </w:tcBorders>
            <w:vAlign w:val="center"/>
          </w:tcPr>
          <w:p w14:paraId="752EBB06">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660" w:type="dxa"/>
            <w:tcBorders>
              <w:top w:val="single" w:color="000000" w:sz="4" w:space="0"/>
              <w:left w:val="single" w:color="000000" w:sz="4" w:space="0"/>
              <w:bottom w:val="single" w:color="000000" w:sz="4" w:space="0"/>
              <w:right w:val="single" w:color="000000" w:sz="4" w:space="0"/>
            </w:tcBorders>
            <w:vAlign w:val="center"/>
          </w:tcPr>
          <w:p w14:paraId="78045567">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660" w:type="dxa"/>
            <w:tcBorders>
              <w:top w:val="single" w:color="000000" w:sz="4" w:space="0"/>
              <w:left w:val="single" w:color="000000" w:sz="4" w:space="0"/>
              <w:bottom w:val="single" w:color="000000" w:sz="4" w:space="0"/>
              <w:right w:val="single" w:color="000000" w:sz="4" w:space="0"/>
            </w:tcBorders>
            <w:vAlign w:val="center"/>
          </w:tcPr>
          <w:p w14:paraId="23D4D384">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660" w:type="dxa"/>
            <w:tcBorders>
              <w:top w:val="single" w:color="000000" w:sz="4" w:space="0"/>
              <w:left w:val="single" w:color="000000" w:sz="4" w:space="0"/>
              <w:bottom w:val="single" w:color="000000" w:sz="4" w:space="0"/>
              <w:right w:val="single" w:color="000000" w:sz="4" w:space="0"/>
            </w:tcBorders>
            <w:vAlign w:val="center"/>
          </w:tcPr>
          <w:p w14:paraId="7DDE3528">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660" w:type="dxa"/>
            <w:tcBorders>
              <w:top w:val="single" w:color="000000" w:sz="4" w:space="0"/>
              <w:left w:val="single" w:color="000000" w:sz="4" w:space="0"/>
              <w:bottom w:val="single" w:color="000000" w:sz="4" w:space="0"/>
              <w:right w:val="single" w:color="000000" w:sz="4" w:space="0"/>
            </w:tcBorders>
            <w:vAlign w:val="center"/>
          </w:tcPr>
          <w:p w14:paraId="307B22D0">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660" w:type="dxa"/>
            <w:tcBorders>
              <w:top w:val="single" w:color="000000" w:sz="4" w:space="0"/>
              <w:left w:val="single" w:color="000000" w:sz="4" w:space="0"/>
              <w:bottom w:val="single" w:color="000000" w:sz="4" w:space="0"/>
              <w:right w:val="single" w:color="000000" w:sz="4" w:space="0"/>
            </w:tcBorders>
            <w:vAlign w:val="center"/>
          </w:tcPr>
          <w:p w14:paraId="66F6D66B">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660" w:type="dxa"/>
            <w:tcBorders>
              <w:top w:val="single" w:color="000000" w:sz="4" w:space="0"/>
              <w:left w:val="single" w:color="000000" w:sz="4" w:space="0"/>
              <w:bottom w:val="single" w:color="000000" w:sz="4" w:space="0"/>
              <w:right w:val="single" w:color="000000" w:sz="4" w:space="0"/>
            </w:tcBorders>
            <w:vAlign w:val="center"/>
          </w:tcPr>
          <w:p w14:paraId="3EF6BDC1">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22590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1A68641B">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60112ECA">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660" w:type="dxa"/>
            <w:vMerge w:val="restart"/>
            <w:tcBorders>
              <w:top w:val="single" w:color="000000" w:sz="4" w:space="0"/>
              <w:left w:val="single" w:color="000000" w:sz="4" w:space="0"/>
              <w:bottom w:val="single" w:color="000000" w:sz="4" w:space="0"/>
              <w:right w:val="single" w:color="000000" w:sz="4" w:space="0"/>
            </w:tcBorders>
            <w:vAlign w:val="center"/>
          </w:tcPr>
          <w:p w14:paraId="2EB67E33">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660" w:type="dxa"/>
            <w:tcBorders>
              <w:top w:val="single" w:color="000000" w:sz="4" w:space="0"/>
              <w:left w:val="single" w:color="000000" w:sz="4" w:space="0"/>
              <w:bottom w:val="single" w:color="000000" w:sz="4" w:space="0"/>
              <w:right w:val="single" w:color="000000" w:sz="4" w:space="0"/>
            </w:tcBorders>
            <w:vAlign w:val="center"/>
          </w:tcPr>
          <w:p w14:paraId="30D15A35">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796E8F2">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5BCED7EC">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5893EF41">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3776DFB">
            <w:pPr>
              <w:jc w:val="center"/>
              <w:rPr>
                <w:rFonts w:hint="eastAsia" w:ascii="微软雅黑" w:hAnsi="微软雅黑" w:eastAsia="微软雅黑" w:cs="微软雅黑"/>
                <w:i/>
                <w:iCs/>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7473C42">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3094916D">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5D7F14D1">
            <w:pPr>
              <w:jc w:val="center"/>
              <w:rPr>
                <w:rFonts w:hint="eastAsia" w:ascii="微软雅黑" w:hAnsi="微软雅黑" w:eastAsia="微软雅黑" w:cs="微软雅黑"/>
                <w:i/>
                <w:iCs/>
                <w:color w:val="000000"/>
                <w:sz w:val="16"/>
                <w:szCs w:val="16"/>
                <w:u w:val="none"/>
              </w:rPr>
            </w:pPr>
          </w:p>
        </w:tc>
      </w:tr>
      <w:tr w14:paraId="08A13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637DFDFB">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6253E956">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5D8C687E">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5862B4A">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7A3390C">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7FCDB8C">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DCBAABD">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5CCCDEE">
            <w:pPr>
              <w:jc w:val="center"/>
              <w:rPr>
                <w:rFonts w:hint="eastAsia" w:ascii="微软雅黑" w:hAnsi="微软雅黑" w:eastAsia="微软雅黑" w:cs="微软雅黑"/>
                <w:i/>
                <w:iCs/>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5B28AD8A">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E9CFE00">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C3B98F2">
            <w:pPr>
              <w:jc w:val="center"/>
              <w:rPr>
                <w:rFonts w:hint="eastAsia" w:ascii="微软雅黑" w:hAnsi="微软雅黑" w:eastAsia="微软雅黑" w:cs="微软雅黑"/>
                <w:i/>
                <w:iCs/>
                <w:color w:val="000000"/>
                <w:sz w:val="16"/>
                <w:szCs w:val="16"/>
                <w:u w:val="none"/>
              </w:rPr>
            </w:pPr>
          </w:p>
        </w:tc>
      </w:tr>
      <w:tr w14:paraId="65E21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14AFC01E">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58870092">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EAD2B38">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660" w:type="dxa"/>
            <w:tcBorders>
              <w:top w:val="single" w:color="000000" w:sz="4" w:space="0"/>
              <w:left w:val="single" w:color="000000" w:sz="4" w:space="0"/>
              <w:bottom w:val="single" w:color="000000" w:sz="4" w:space="0"/>
              <w:right w:val="single" w:color="000000" w:sz="4" w:space="0"/>
            </w:tcBorders>
            <w:vAlign w:val="center"/>
          </w:tcPr>
          <w:p w14:paraId="74A4C33F">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5488E17">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5733D23">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4664F98">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0A6662E">
            <w:pPr>
              <w:jc w:val="center"/>
              <w:rPr>
                <w:rFonts w:hint="eastAsia" w:ascii="微软雅黑" w:hAnsi="微软雅黑" w:eastAsia="微软雅黑" w:cs="微软雅黑"/>
                <w:i/>
                <w:iCs/>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58627598">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02BA1FB">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659D7E37">
            <w:pPr>
              <w:jc w:val="center"/>
              <w:rPr>
                <w:rFonts w:hint="eastAsia" w:ascii="微软雅黑" w:hAnsi="微软雅黑" w:eastAsia="微软雅黑" w:cs="微软雅黑"/>
                <w:i/>
                <w:iCs/>
                <w:color w:val="000000"/>
                <w:sz w:val="16"/>
                <w:szCs w:val="16"/>
                <w:u w:val="none"/>
              </w:rPr>
            </w:pPr>
          </w:p>
        </w:tc>
      </w:tr>
      <w:tr w14:paraId="628B8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6178E1B9">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651F65F1">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660" w:type="dxa"/>
            <w:tcBorders>
              <w:top w:val="single" w:color="000000" w:sz="4" w:space="0"/>
              <w:left w:val="single" w:color="000000" w:sz="4" w:space="0"/>
              <w:bottom w:val="single" w:color="000000" w:sz="4" w:space="0"/>
              <w:right w:val="single" w:color="000000" w:sz="4" w:space="0"/>
            </w:tcBorders>
            <w:vAlign w:val="center"/>
          </w:tcPr>
          <w:p w14:paraId="3D31DF15">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660" w:type="dxa"/>
            <w:tcBorders>
              <w:top w:val="single" w:color="000000" w:sz="4" w:space="0"/>
              <w:left w:val="single" w:color="000000" w:sz="4" w:space="0"/>
              <w:bottom w:val="single" w:color="000000" w:sz="4" w:space="0"/>
              <w:right w:val="single" w:color="000000" w:sz="4" w:space="0"/>
            </w:tcBorders>
            <w:vAlign w:val="center"/>
          </w:tcPr>
          <w:p w14:paraId="09A873E7">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8073E30">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0B6C399">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C63F7D4">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60559D4C">
            <w:pPr>
              <w:jc w:val="center"/>
              <w:rPr>
                <w:rFonts w:hint="eastAsia" w:ascii="微软雅黑" w:hAnsi="微软雅黑" w:eastAsia="微软雅黑" w:cs="微软雅黑"/>
                <w:i/>
                <w:iCs/>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B8BED46">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BCC30EA">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9F2C262">
            <w:pPr>
              <w:jc w:val="center"/>
              <w:rPr>
                <w:rFonts w:hint="eastAsia" w:ascii="微软雅黑" w:hAnsi="微软雅黑" w:eastAsia="微软雅黑" w:cs="微软雅黑"/>
                <w:i/>
                <w:iCs/>
                <w:color w:val="000000"/>
                <w:sz w:val="16"/>
                <w:szCs w:val="16"/>
                <w:u w:val="none"/>
              </w:rPr>
            </w:pPr>
          </w:p>
        </w:tc>
      </w:tr>
      <w:tr w14:paraId="7E5F8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20" w:type="dxa"/>
            <w:gridSpan w:val="8"/>
            <w:tcBorders>
              <w:top w:val="single" w:color="000000" w:sz="4" w:space="0"/>
              <w:left w:val="single" w:color="000000" w:sz="4" w:space="0"/>
              <w:bottom w:val="single" w:color="000000" w:sz="4" w:space="0"/>
              <w:right w:val="single" w:color="000000" w:sz="4" w:space="0"/>
            </w:tcBorders>
            <w:vAlign w:val="center"/>
          </w:tcPr>
          <w:p w14:paraId="4E7E82FB">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660" w:type="dxa"/>
            <w:tcBorders>
              <w:top w:val="single" w:color="000000" w:sz="4" w:space="0"/>
              <w:left w:val="single" w:color="000000" w:sz="4" w:space="0"/>
              <w:bottom w:val="single" w:color="000000" w:sz="4" w:space="0"/>
              <w:right w:val="single" w:color="000000" w:sz="4" w:space="0"/>
            </w:tcBorders>
            <w:vAlign w:val="center"/>
          </w:tcPr>
          <w:p w14:paraId="458B12B0">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660" w:type="dxa"/>
            <w:tcBorders>
              <w:top w:val="single" w:color="000000" w:sz="4" w:space="0"/>
              <w:left w:val="single" w:color="000000" w:sz="4" w:space="0"/>
              <w:bottom w:val="single" w:color="000000" w:sz="4" w:space="0"/>
              <w:right w:val="single" w:color="000000" w:sz="4" w:space="0"/>
            </w:tcBorders>
            <w:vAlign w:val="center"/>
          </w:tcPr>
          <w:p w14:paraId="38CB4414">
            <w:pP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534E712B">
            <w:pPr>
              <w:rPr>
                <w:rFonts w:hint="eastAsia" w:ascii="宋体" w:hAnsi="宋体" w:eastAsia="宋体" w:cs="宋体"/>
                <w:i w:val="0"/>
                <w:iCs w:val="0"/>
                <w:color w:val="000000"/>
                <w:sz w:val="18"/>
                <w:szCs w:val="18"/>
                <w:u w:val="none"/>
              </w:rPr>
            </w:pPr>
          </w:p>
        </w:tc>
      </w:tr>
      <w:tr w14:paraId="3FDF3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34D9B06A">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7020" w:type="dxa"/>
            <w:gridSpan w:val="10"/>
            <w:tcBorders>
              <w:top w:val="single" w:color="000000" w:sz="4" w:space="0"/>
              <w:left w:val="single" w:color="000000" w:sz="4" w:space="0"/>
              <w:bottom w:val="single" w:color="000000" w:sz="4" w:space="0"/>
              <w:right w:val="single" w:color="000000" w:sz="4" w:space="0"/>
            </w:tcBorders>
            <w:vAlign w:val="center"/>
          </w:tcPr>
          <w:p w14:paraId="3F2F7A11">
            <w:pPr>
              <w:widowControl/>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结合自评情况，说明项目自评总分，说明项目实施取得的成效或成果。（200字以内）</w:t>
            </w:r>
          </w:p>
        </w:tc>
      </w:tr>
      <w:tr w14:paraId="20656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2EA6E73A">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7020" w:type="dxa"/>
            <w:gridSpan w:val="10"/>
            <w:tcBorders>
              <w:top w:val="single" w:color="000000" w:sz="4" w:space="0"/>
              <w:left w:val="single" w:color="000000" w:sz="4" w:space="0"/>
              <w:bottom w:val="single" w:color="000000" w:sz="4" w:space="0"/>
              <w:right w:val="single" w:color="000000" w:sz="4" w:space="0"/>
            </w:tcBorders>
            <w:vAlign w:val="center"/>
          </w:tcPr>
          <w:p w14:paraId="7FF86C46">
            <w:pPr>
              <w:widowControl/>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结合自评情况，分析存在的问题及原因。（200字以内）</w:t>
            </w:r>
          </w:p>
        </w:tc>
      </w:tr>
      <w:tr w14:paraId="1597C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13395B44">
            <w:pPr>
              <w:widowControl/>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7020" w:type="dxa"/>
            <w:gridSpan w:val="10"/>
            <w:tcBorders>
              <w:top w:val="single" w:color="000000" w:sz="4" w:space="0"/>
              <w:left w:val="single" w:color="000000" w:sz="4" w:space="0"/>
              <w:bottom w:val="single" w:color="000000" w:sz="4" w:space="0"/>
              <w:right w:val="single" w:color="000000" w:sz="4" w:space="0"/>
            </w:tcBorders>
            <w:vAlign w:val="center"/>
          </w:tcPr>
          <w:p w14:paraId="5227463C">
            <w:pPr>
              <w:widowControl/>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针对项目自评中发现的问题，提出下一步改进完善的意见及有关政策性建议。（200字以内）</w:t>
            </w:r>
          </w:p>
        </w:tc>
      </w:tr>
      <w:tr w14:paraId="0C9B1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40" w:type="dxa"/>
            <w:gridSpan w:val="5"/>
            <w:tcBorders>
              <w:top w:val="single" w:color="000000" w:sz="4" w:space="0"/>
              <w:left w:val="single" w:color="000000" w:sz="4" w:space="0"/>
              <w:bottom w:val="single" w:color="000000" w:sz="4" w:space="0"/>
              <w:right w:val="single" w:color="000000" w:sz="4" w:space="0"/>
            </w:tcBorders>
            <w:vAlign w:val="center"/>
          </w:tcPr>
          <w:p w14:paraId="6FB0FFD5">
            <w:pPr>
              <w:widowControl/>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p>
        </w:tc>
        <w:tc>
          <w:tcPr>
            <w:tcW w:w="3960" w:type="dxa"/>
            <w:gridSpan w:val="6"/>
            <w:tcBorders>
              <w:top w:val="single" w:color="000000" w:sz="4" w:space="0"/>
              <w:left w:val="single" w:color="000000" w:sz="4" w:space="0"/>
              <w:bottom w:val="single" w:color="000000" w:sz="4" w:space="0"/>
              <w:right w:val="single" w:color="000000" w:sz="4" w:space="0"/>
            </w:tcBorders>
            <w:vAlign w:val="center"/>
          </w:tcPr>
          <w:p w14:paraId="3063F763">
            <w:pPr>
              <w:widowControl/>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p>
        </w:tc>
      </w:tr>
    </w:tbl>
    <w:p w14:paraId="07A6800E">
      <w:pPr>
        <w:pStyle w:val="14"/>
        <w:numPr>
          <w:ilvl w:val="0"/>
          <w:numId w:val="0"/>
        </w:numPr>
        <w:wordWrap/>
        <w:spacing w:line="560" w:lineRule="exact"/>
        <w:ind w:firstLine="640" w:firstLineChars="200"/>
        <w:textAlignment w:val="auto"/>
        <w:rPr>
          <w:rFonts w:hint="eastAsia" w:ascii="仿宋" w:hAnsi="仿宋" w:eastAsia="仿宋" w:cs="仿宋"/>
          <w:b w:val="0"/>
          <w:bCs w:val="0"/>
          <w:kern w:val="0"/>
          <w:sz w:val="32"/>
          <w:szCs w:val="32"/>
          <w:lang w:val="en-US" w:eastAsia="zh-CN" w:bidi="ar-SA"/>
        </w:rPr>
      </w:pPr>
      <w:r>
        <w:rPr>
          <w:rFonts w:hint="eastAsia" w:ascii="仿宋" w:hAnsi="仿宋" w:eastAsia="仿宋" w:cs="仿宋"/>
          <w:b w:val="0"/>
          <w:bCs w:val="0"/>
          <w:kern w:val="0"/>
          <w:sz w:val="32"/>
          <w:szCs w:val="32"/>
          <w:lang w:val="en-US" w:eastAsia="zh-CN" w:bidi="ar-SA"/>
        </w:rPr>
        <w:t>注：</w:t>
      </w:r>
      <w:r>
        <w:rPr>
          <w:rFonts w:hint="default" w:ascii="仿宋" w:hAnsi="仿宋" w:eastAsia="仿宋" w:cs="仿宋"/>
          <w:b w:val="0"/>
          <w:bCs w:val="0"/>
          <w:kern w:val="0"/>
          <w:sz w:val="32"/>
          <w:szCs w:val="32"/>
          <w:lang w:val="en-US" w:eastAsia="zh-CN" w:bidi="ar-SA"/>
        </w:rPr>
        <w:t>2022年度</w:t>
      </w:r>
      <w:r>
        <w:rPr>
          <w:rFonts w:hint="eastAsia" w:ascii="仿宋" w:hAnsi="仿宋" w:eastAsia="仿宋" w:cs="仿宋"/>
          <w:b w:val="0"/>
          <w:bCs w:val="0"/>
          <w:kern w:val="0"/>
          <w:sz w:val="32"/>
          <w:szCs w:val="32"/>
          <w:lang w:val="en-US" w:eastAsia="zh-CN" w:bidi="ar-SA"/>
        </w:rPr>
        <w:t>我单位无</w:t>
      </w:r>
      <w:r>
        <w:rPr>
          <w:rFonts w:hint="default" w:ascii="仿宋" w:hAnsi="仿宋" w:eastAsia="仿宋" w:cs="仿宋"/>
          <w:b w:val="0"/>
          <w:bCs w:val="0"/>
          <w:kern w:val="0"/>
          <w:sz w:val="32"/>
          <w:szCs w:val="32"/>
          <w:lang w:val="en-US" w:eastAsia="zh-CN" w:bidi="ar-SA"/>
        </w:rPr>
        <w:t>预算项目</w:t>
      </w:r>
    </w:p>
    <w:p w14:paraId="4D2924BE">
      <w:pPr>
        <w:spacing w:line="600" w:lineRule="exact"/>
        <w:jc w:val="center"/>
        <w:outlineLvl w:val="0"/>
        <w:rPr>
          <w:rStyle w:val="31"/>
          <w:rFonts w:hint="default" w:ascii="Times New Roman" w:hAnsi="Times New Roman" w:eastAsia="黑体" w:cs="Times New Roman"/>
          <w:b w:val="0"/>
        </w:rPr>
      </w:pPr>
      <w:bookmarkStart w:id="58" w:name="_Toc15396618"/>
      <w:r>
        <w:rPr>
          <w:rFonts w:hint="default" w:ascii="Times New Roman" w:hAnsi="Times New Roman" w:eastAsia="黑体" w:cs="Times New Roman"/>
          <w:color w:val="000000"/>
          <w:sz w:val="44"/>
          <w:szCs w:val="44"/>
        </w:rPr>
        <w:t>第</w:t>
      </w:r>
      <w:r>
        <w:rPr>
          <w:rStyle w:val="31"/>
          <w:rFonts w:hint="default" w:ascii="Times New Roman" w:hAnsi="Times New Roman" w:eastAsia="黑体" w:cs="Times New Roman"/>
          <w:b w:val="0"/>
        </w:rPr>
        <w:t>五部分 附表</w:t>
      </w:r>
      <w:bookmarkEnd w:id="57"/>
      <w:bookmarkEnd w:id="58"/>
      <w:bookmarkStart w:id="59" w:name="_Toc15396619"/>
    </w:p>
    <w:p w14:paraId="0BF82875">
      <w:pPr>
        <w:pStyle w:val="3"/>
        <w:rPr>
          <w:rFonts w:hint="default" w:ascii="Times New Roman" w:hAnsi="Times New Roman" w:eastAsia="仿宋" w:cs="Times New Roman"/>
          <w:color w:val="000000"/>
        </w:rPr>
      </w:pPr>
      <w:r>
        <w:rPr>
          <w:rFonts w:hint="default" w:ascii="Times New Roman" w:hAnsi="Times New Roman" w:eastAsia="仿宋" w:cs="Times New Roman"/>
          <w:b w:val="0"/>
          <w:color w:val="000000"/>
        </w:rPr>
        <w:t>一、收</w:t>
      </w:r>
      <w:r>
        <w:rPr>
          <w:rStyle w:val="32"/>
          <w:rFonts w:hint="default" w:ascii="Times New Roman" w:hAnsi="Times New Roman" w:eastAsia="仿宋" w:cs="Times New Roman"/>
          <w:b w:val="0"/>
          <w:bCs w:val="0"/>
        </w:rPr>
        <w:t>入支出决算总表</w:t>
      </w:r>
      <w:bookmarkEnd w:id="59"/>
    </w:p>
    <w:p w14:paraId="1933915D">
      <w:pPr>
        <w:pStyle w:val="3"/>
        <w:rPr>
          <w:rFonts w:hint="default" w:ascii="Times New Roman" w:hAnsi="Times New Roman" w:eastAsia="仿宋" w:cs="Times New Roman"/>
          <w:color w:val="000000"/>
        </w:rPr>
      </w:pPr>
      <w:bookmarkStart w:id="60" w:name="_Toc15396620"/>
      <w:r>
        <w:rPr>
          <w:rFonts w:hint="default" w:ascii="Times New Roman" w:hAnsi="Times New Roman" w:eastAsia="仿宋" w:cs="Times New Roman"/>
          <w:b w:val="0"/>
          <w:color w:val="000000"/>
        </w:rPr>
        <w:t>二、收</w:t>
      </w:r>
      <w:r>
        <w:rPr>
          <w:rStyle w:val="32"/>
          <w:rFonts w:hint="default" w:ascii="Times New Roman" w:hAnsi="Times New Roman" w:eastAsia="仿宋" w:cs="Times New Roman"/>
          <w:b w:val="0"/>
          <w:bCs w:val="0"/>
        </w:rPr>
        <w:t>入决算表</w:t>
      </w:r>
      <w:bookmarkEnd w:id="60"/>
    </w:p>
    <w:p w14:paraId="33F22A06">
      <w:pPr>
        <w:pStyle w:val="3"/>
        <w:rPr>
          <w:rFonts w:hint="default" w:ascii="Times New Roman" w:hAnsi="Times New Roman" w:eastAsia="仿宋" w:cs="Times New Roman"/>
          <w:color w:val="000000"/>
        </w:rPr>
      </w:pPr>
      <w:bookmarkStart w:id="61" w:name="_Toc15396621"/>
      <w:r>
        <w:rPr>
          <w:rStyle w:val="32"/>
          <w:rFonts w:hint="default" w:ascii="Times New Roman" w:hAnsi="Times New Roman" w:eastAsia="仿宋" w:cs="Times New Roman"/>
          <w:b w:val="0"/>
          <w:bCs w:val="0"/>
        </w:rPr>
        <w:t>三、</w:t>
      </w:r>
      <w:r>
        <w:rPr>
          <w:rFonts w:hint="default" w:ascii="Times New Roman" w:hAnsi="Times New Roman" w:eastAsia="仿宋" w:cs="Times New Roman"/>
          <w:b w:val="0"/>
          <w:color w:val="000000"/>
        </w:rPr>
        <w:t>支</w:t>
      </w:r>
      <w:r>
        <w:rPr>
          <w:rStyle w:val="32"/>
          <w:rFonts w:hint="default" w:ascii="Times New Roman" w:hAnsi="Times New Roman" w:eastAsia="仿宋" w:cs="Times New Roman"/>
          <w:b w:val="0"/>
          <w:bCs w:val="0"/>
        </w:rPr>
        <w:t>出决算表</w:t>
      </w:r>
      <w:bookmarkEnd w:id="61"/>
    </w:p>
    <w:p w14:paraId="6A79293E">
      <w:pPr>
        <w:pStyle w:val="3"/>
        <w:rPr>
          <w:rFonts w:hint="default" w:ascii="Times New Roman" w:hAnsi="Times New Roman" w:eastAsia="仿宋" w:cs="Times New Roman"/>
          <w:b w:val="0"/>
          <w:color w:val="000000"/>
        </w:rPr>
      </w:pPr>
      <w:bookmarkStart w:id="62" w:name="_Toc15396622"/>
      <w:r>
        <w:rPr>
          <w:rStyle w:val="32"/>
          <w:rFonts w:hint="default" w:ascii="Times New Roman" w:hAnsi="Times New Roman" w:eastAsia="仿宋" w:cs="Times New Roman"/>
          <w:b w:val="0"/>
          <w:bCs w:val="0"/>
        </w:rPr>
        <w:t>四、</w:t>
      </w:r>
      <w:r>
        <w:rPr>
          <w:rFonts w:hint="default" w:ascii="Times New Roman" w:hAnsi="Times New Roman" w:eastAsia="仿宋" w:cs="Times New Roman"/>
          <w:b w:val="0"/>
          <w:color w:val="000000"/>
        </w:rPr>
        <w:t>财</w:t>
      </w:r>
      <w:r>
        <w:rPr>
          <w:rStyle w:val="32"/>
          <w:rFonts w:hint="default" w:ascii="Times New Roman" w:hAnsi="Times New Roman" w:eastAsia="仿宋" w:cs="Times New Roman"/>
          <w:b w:val="0"/>
          <w:bCs w:val="0"/>
        </w:rPr>
        <w:t>政拨款收入支出决算总表</w:t>
      </w:r>
      <w:bookmarkEnd w:id="62"/>
    </w:p>
    <w:p w14:paraId="77B0A76D">
      <w:pPr>
        <w:pStyle w:val="3"/>
        <w:rPr>
          <w:rStyle w:val="32"/>
          <w:rFonts w:hint="default" w:ascii="Times New Roman" w:hAnsi="Times New Roman" w:eastAsia="仿宋" w:cs="Times New Roman"/>
          <w:b w:val="0"/>
          <w:bCs w:val="0"/>
        </w:rPr>
      </w:pPr>
      <w:bookmarkStart w:id="63" w:name="_Toc15396623"/>
      <w:r>
        <w:rPr>
          <w:rStyle w:val="32"/>
          <w:rFonts w:hint="default" w:ascii="Times New Roman" w:hAnsi="Times New Roman" w:eastAsia="仿宋" w:cs="Times New Roman"/>
          <w:b w:val="0"/>
          <w:bCs w:val="0"/>
        </w:rPr>
        <w:t>五、</w:t>
      </w:r>
      <w:r>
        <w:rPr>
          <w:rFonts w:hint="default" w:ascii="Times New Roman" w:hAnsi="Times New Roman" w:eastAsia="仿宋" w:cs="Times New Roman"/>
          <w:b w:val="0"/>
          <w:color w:val="000000"/>
        </w:rPr>
        <w:t>财</w:t>
      </w:r>
      <w:r>
        <w:rPr>
          <w:rStyle w:val="32"/>
          <w:rFonts w:hint="default" w:ascii="Times New Roman" w:hAnsi="Times New Roman" w:eastAsia="仿宋" w:cs="Times New Roman"/>
          <w:b w:val="0"/>
          <w:bCs w:val="0"/>
        </w:rPr>
        <w:t>政拨款支出决算明细表</w:t>
      </w:r>
      <w:bookmarkEnd w:id="63"/>
      <w:bookmarkStart w:id="64" w:name="_Toc15396624"/>
    </w:p>
    <w:p w14:paraId="0DF590CD">
      <w:pPr>
        <w:pStyle w:val="3"/>
        <w:rPr>
          <w:rFonts w:hint="default" w:ascii="Times New Roman" w:hAnsi="Times New Roman" w:eastAsia="仿宋" w:cs="Times New Roman"/>
          <w:color w:val="000000"/>
        </w:rPr>
      </w:pPr>
      <w:r>
        <w:rPr>
          <w:rStyle w:val="32"/>
          <w:rFonts w:hint="default" w:ascii="Times New Roman" w:hAnsi="Times New Roman" w:eastAsia="仿宋" w:cs="Times New Roman"/>
          <w:b w:val="0"/>
          <w:bCs w:val="0"/>
        </w:rPr>
        <w:t>六、</w:t>
      </w:r>
      <w:r>
        <w:rPr>
          <w:rFonts w:hint="default" w:ascii="Times New Roman" w:hAnsi="Times New Roman" w:eastAsia="仿宋" w:cs="Times New Roman"/>
          <w:b w:val="0"/>
          <w:color w:val="000000"/>
        </w:rPr>
        <w:t>一</w:t>
      </w:r>
      <w:r>
        <w:rPr>
          <w:rStyle w:val="32"/>
          <w:rFonts w:hint="default" w:ascii="Times New Roman" w:hAnsi="Times New Roman" w:eastAsia="仿宋" w:cs="Times New Roman"/>
          <w:b w:val="0"/>
          <w:bCs w:val="0"/>
        </w:rPr>
        <w:t>般公共预算财政拨款支出决算表</w:t>
      </w:r>
      <w:bookmarkEnd w:id="64"/>
    </w:p>
    <w:p w14:paraId="2071FDAB">
      <w:pPr>
        <w:pStyle w:val="3"/>
        <w:rPr>
          <w:rFonts w:hint="default" w:ascii="Times New Roman" w:hAnsi="Times New Roman" w:eastAsia="仿宋" w:cs="Times New Roman"/>
          <w:color w:val="000000"/>
        </w:rPr>
      </w:pPr>
      <w:bookmarkStart w:id="65" w:name="_Toc15396625"/>
      <w:r>
        <w:rPr>
          <w:rStyle w:val="32"/>
          <w:rFonts w:hint="default" w:ascii="Times New Roman" w:hAnsi="Times New Roman" w:eastAsia="仿宋" w:cs="Times New Roman"/>
          <w:b w:val="0"/>
          <w:bCs w:val="0"/>
        </w:rPr>
        <w:t>七、</w:t>
      </w:r>
      <w:r>
        <w:rPr>
          <w:rFonts w:hint="default" w:ascii="Times New Roman" w:hAnsi="Times New Roman" w:eastAsia="仿宋" w:cs="Times New Roman"/>
          <w:b w:val="0"/>
          <w:color w:val="000000"/>
        </w:rPr>
        <w:t>一</w:t>
      </w:r>
      <w:r>
        <w:rPr>
          <w:rStyle w:val="32"/>
          <w:rFonts w:hint="default" w:ascii="Times New Roman" w:hAnsi="Times New Roman" w:eastAsia="仿宋" w:cs="Times New Roman"/>
          <w:b w:val="0"/>
          <w:bCs w:val="0"/>
        </w:rPr>
        <w:t>般公共预算财政拨款支出决算明细表</w:t>
      </w:r>
      <w:bookmarkEnd w:id="65"/>
    </w:p>
    <w:p w14:paraId="1520E37D">
      <w:pPr>
        <w:pStyle w:val="3"/>
        <w:rPr>
          <w:rFonts w:hint="default" w:ascii="Times New Roman" w:hAnsi="Times New Roman" w:eastAsia="仿宋" w:cs="Times New Roman"/>
          <w:color w:val="000000"/>
        </w:rPr>
      </w:pPr>
      <w:bookmarkStart w:id="66" w:name="_Toc15396626"/>
      <w:r>
        <w:rPr>
          <w:rStyle w:val="32"/>
          <w:rFonts w:hint="default" w:ascii="Times New Roman" w:hAnsi="Times New Roman" w:eastAsia="仿宋" w:cs="Times New Roman"/>
          <w:b w:val="0"/>
          <w:bCs w:val="0"/>
        </w:rPr>
        <w:t>八、</w:t>
      </w:r>
      <w:r>
        <w:rPr>
          <w:rFonts w:hint="default" w:ascii="Times New Roman" w:hAnsi="Times New Roman" w:eastAsia="仿宋" w:cs="Times New Roman"/>
          <w:b w:val="0"/>
          <w:color w:val="000000"/>
        </w:rPr>
        <w:t>一</w:t>
      </w:r>
      <w:r>
        <w:rPr>
          <w:rStyle w:val="32"/>
          <w:rFonts w:hint="default" w:ascii="Times New Roman" w:hAnsi="Times New Roman" w:eastAsia="仿宋" w:cs="Times New Roman"/>
          <w:b w:val="0"/>
          <w:bCs w:val="0"/>
        </w:rPr>
        <w:t>般公共预算财政拨款基本支出决算表</w:t>
      </w:r>
      <w:bookmarkEnd w:id="66"/>
    </w:p>
    <w:p w14:paraId="03CCCCF6">
      <w:pPr>
        <w:pStyle w:val="3"/>
        <w:rPr>
          <w:rFonts w:hint="default" w:ascii="Times New Roman" w:hAnsi="Times New Roman" w:eastAsia="仿宋" w:cs="Times New Roman"/>
          <w:color w:val="000000"/>
        </w:rPr>
      </w:pPr>
      <w:bookmarkStart w:id="67" w:name="_Toc15396627"/>
      <w:r>
        <w:rPr>
          <w:rStyle w:val="32"/>
          <w:rFonts w:hint="default" w:ascii="Times New Roman" w:hAnsi="Times New Roman" w:eastAsia="仿宋" w:cs="Times New Roman"/>
          <w:b w:val="0"/>
          <w:bCs w:val="0"/>
        </w:rPr>
        <w:t>九、</w:t>
      </w:r>
      <w:r>
        <w:rPr>
          <w:rFonts w:hint="default" w:ascii="Times New Roman" w:hAnsi="Times New Roman" w:eastAsia="仿宋" w:cs="Times New Roman"/>
          <w:b w:val="0"/>
          <w:color w:val="000000"/>
        </w:rPr>
        <w:t>一</w:t>
      </w:r>
      <w:r>
        <w:rPr>
          <w:rStyle w:val="32"/>
          <w:rFonts w:hint="default" w:ascii="Times New Roman" w:hAnsi="Times New Roman" w:eastAsia="仿宋" w:cs="Times New Roman"/>
          <w:b w:val="0"/>
          <w:bCs w:val="0"/>
        </w:rPr>
        <w:t>般公共预算财政拨款项目支出决算表</w:t>
      </w:r>
      <w:bookmarkEnd w:id="67"/>
    </w:p>
    <w:p w14:paraId="4816E455">
      <w:pPr>
        <w:pStyle w:val="3"/>
        <w:rPr>
          <w:rFonts w:hint="default" w:ascii="Times New Roman" w:hAnsi="Times New Roman" w:eastAsia="仿宋" w:cs="Times New Roman"/>
          <w:color w:val="000000"/>
        </w:rPr>
      </w:pPr>
      <w:bookmarkStart w:id="68" w:name="_Toc15396629"/>
      <w:r>
        <w:rPr>
          <w:rStyle w:val="32"/>
          <w:rFonts w:hint="default" w:ascii="Times New Roman" w:hAnsi="Times New Roman" w:eastAsia="仿宋" w:cs="Times New Roman"/>
          <w:b w:val="0"/>
          <w:bCs w:val="0"/>
        </w:rPr>
        <w:t>十、</w:t>
      </w:r>
      <w:r>
        <w:rPr>
          <w:rFonts w:hint="default" w:ascii="Times New Roman" w:hAnsi="Times New Roman" w:eastAsia="仿宋" w:cs="Times New Roman"/>
          <w:b w:val="0"/>
          <w:color w:val="000000"/>
        </w:rPr>
        <w:t>政</w:t>
      </w:r>
      <w:r>
        <w:rPr>
          <w:rStyle w:val="32"/>
          <w:rFonts w:hint="default" w:ascii="Times New Roman" w:hAnsi="Times New Roman" w:eastAsia="仿宋" w:cs="Times New Roman"/>
          <w:b w:val="0"/>
          <w:bCs w:val="0"/>
        </w:rPr>
        <w:t>府性基金预算财政拨款收入支出决算表</w:t>
      </w:r>
      <w:bookmarkEnd w:id="68"/>
    </w:p>
    <w:p w14:paraId="548C39A5">
      <w:pPr>
        <w:pStyle w:val="3"/>
        <w:rPr>
          <w:rStyle w:val="32"/>
          <w:rFonts w:hint="default" w:ascii="Times New Roman" w:hAnsi="Times New Roman" w:eastAsia="仿宋" w:cs="Times New Roman"/>
          <w:b w:val="0"/>
          <w:bCs w:val="0"/>
        </w:rPr>
      </w:pPr>
      <w:bookmarkStart w:id="69" w:name="_Toc15396631"/>
      <w:r>
        <w:rPr>
          <w:rStyle w:val="32"/>
          <w:rFonts w:hint="default" w:ascii="Times New Roman" w:hAnsi="Times New Roman" w:eastAsia="仿宋" w:cs="Times New Roman"/>
          <w:b w:val="0"/>
          <w:bCs w:val="0"/>
        </w:rPr>
        <w:t>十</w:t>
      </w:r>
      <w:r>
        <w:rPr>
          <w:rStyle w:val="32"/>
          <w:rFonts w:hint="default" w:ascii="Times New Roman" w:hAnsi="Times New Roman" w:eastAsia="仿宋" w:cs="Times New Roman"/>
          <w:b w:val="0"/>
          <w:bCs w:val="0"/>
          <w:lang w:eastAsia="zh-CN"/>
        </w:rPr>
        <w:t>一</w:t>
      </w:r>
      <w:r>
        <w:rPr>
          <w:rStyle w:val="32"/>
          <w:rFonts w:hint="default" w:ascii="Times New Roman" w:hAnsi="Times New Roman" w:eastAsia="仿宋" w:cs="Times New Roman"/>
          <w:b w:val="0"/>
          <w:bCs w:val="0"/>
        </w:rPr>
        <w:t>、</w:t>
      </w:r>
      <w:r>
        <w:rPr>
          <w:rFonts w:hint="default" w:ascii="Times New Roman" w:hAnsi="Times New Roman" w:eastAsia="仿宋" w:cs="Times New Roman"/>
          <w:b w:val="0"/>
          <w:color w:val="000000"/>
        </w:rPr>
        <w:t>国有资本经营预算财政拨款收入支出决算表</w:t>
      </w:r>
    </w:p>
    <w:p w14:paraId="1BF14007">
      <w:pPr>
        <w:pStyle w:val="3"/>
        <w:rPr>
          <w:rStyle w:val="32"/>
          <w:rFonts w:hint="default" w:ascii="Times New Roman" w:hAnsi="Times New Roman" w:eastAsia="仿宋" w:cs="Times New Roman"/>
          <w:b w:val="0"/>
          <w:bCs w:val="0"/>
        </w:rPr>
      </w:pPr>
      <w:r>
        <w:rPr>
          <w:rFonts w:hint="default" w:ascii="Times New Roman" w:hAnsi="Times New Roman" w:eastAsia="仿宋" w:cs="Times New Roman"/>
          <w:b w:val="0"/>
          <w:color w:val="000000"/>
        </w:rPr>
        <w:t>十</w:t>
      </w:r>
      <w:r>
        <w:rPr>
          <w:rFonts w:hint="default" w:ascii="Times New Roman" w:hAnsi="Times New Roman" w:eastAsia="仿宋" w:cs="Times New Roman"/>
          <w:b w:val="0"/>
          <w:color w:val="000000"/>
          <w:lang w:eastAsia="zh-CN"/>
        </w:rPr>
        <w:t>二</w:t>
      </w:r>
      <w:r>
        <w:rPr>
          <w:rFonts w:hint="default" w:ascii="Times New Roman" w:hAnsi="Times New Roman" w:eastAsia="仿宋" w:cs="Times New Roman"/>
          <w:b w:val="0"/>
          <w:color w:val="000000"/>
        </w:rPr>
        <w:t>、国</w:t>
      </w:r>
      <w:r>
        <w:rPr>
          <w:rStyle w:val="32"/>
          <w:rFonts w:hint="default" w:ascii="Times New Roman" w:hAnsi="Times New Roman" w:eastAsia="仿宋" w:cs="Times New Roman"/>
          <w:b w:val="0"/>
          <w:bCs w:val="0"/>
        </w:rPr>
        <w:t>有资本经营预算财政拨款支出决算表</w:t>
      </w:r>
      <w:bookmarkEnd w:id="69"/>
    </w:p>
    <w:p w14:paraId="7025314A">
      <w:pPr>
        <w:pStyle w:val="3"/>
        <w:rPr>
          <w:rStyle w:val="32"/>
          <w:rFonts w:hint="default" w:ascii="Times New Roman" w:hAnsi="Times New Roman" w:eastAsia="仿宋" w:cs="Times New Roman"/>
          <w:b w:val="0"/>
          <w:bCs w:val="0"/>
          <w:color w:val="000000"/>
        </w:rPr>
      </w:pPr>
      <w:r>
        <w:rPr>
          <w:rFonts w:hint="default" w:ascii="Times New Roman" w:hAnsi="Times New Roman" w:eastAsia="仿宋" w:cs="Times New Roman"/>
          <w:b w:val="0"/>
          <w:color w:val="000000"/>
        </w:rPr>
        <w:t>十</w:t>
      </w:r>
      <w:r>
        <w:rPr>
          <w:rFonts w:hint="default" w:ascii="Times New Roman" w:hAnsi="Times New Roman" w:eastAsia="仿宋" w:cs="Times New Roman"/>
          <w:b w:val="0"/>
          <w:color w:val="000000"/>
          <w:lang w:eastAsia="zh-CN"/>
        </w:rPr>
        <w:t>三</w:t>
      </w:r>
      <w:r>
        <w:rPr>
          <w:rFonts w:hint="default" w:ascii="Times New Roman" w:hAnsi="Times New Roman" w:eastAsia="仿宋" w:cs="Times New Roman"/>
          <w:b w:val="0"/>
          <w:color w:val="000000"/>
        </w:rPr>
        <w:t>、</w:t>
      </w:r>
      <w:r>
        <w:rPr>
          <w:rStyle w:val="32"/>
          <w:rFonts w:hint="default" w:ascii="Times New Roman" w:hAnsi="Times New Roman" w:eastAsia="仿宋" w:cs="Times New Roman"/>
          <w:b w:val="0"/>
          <w:bCs w:val="0"/>
        </w:rPr>
        <w:t>财政拨款“三公”经费支出决算表</w:t>
      </w:r>
    </w:p>
    <w:p w14:paraId="32A95B42">
      <w:pPr>
        <w:pStyle w:val="3"/>
        <w:rPr>
          <w:rFonts w:hint="default" w:ascii="Times New Roman" w:hAnsi="Times New Roman" w:eastAsia="仿宋" w:cs="Times New Roman"/>
          <w:color w:val="000000"/>
        </w:rPr>
      </w:pPr>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C70DE">
    <w:pPr>
      <w:pStyle w:val="9"/>
      <w:jc w:val="center"/>
    </w:pPr>
    <w:r>
      <w:fldChar w:fldCharType="begin"/>
    </w:r>
    <w:r>
      <w:instrText xml:space="preserve">PAGE   \* MERGEFORMAT</w:instrText>
    </w:r>
    <w:r>
      <w:fldChar w:fldCharType="separate"/>
    </w:r>
    <w:r>
      <w:rPr>
        <w:lang w:val="zh-CN"/>
      </w:rPr>
      <w:t>2</w:t>
    </w:r>
    <w:r>
      <w:fldChar w:fldCharType="end"/>
    </w:r>
  </w:p>
  <w:p w14:paraId="150FF3B3">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ED30">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4F70C"/>
    <w:multiLevelType w:val="singleLevel"/>
    <w:tmpl w:val="9214F70C"/>
    <w:lvl w:ilvl="0" w:tentative="0">
      <w:start w:val="7"/>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046E210A"/>
    <w:multiLevelType w:val="multilevel"/>
    <w:tmpl w:val="046E210A"/>
    <w:lvl w:ilvl="0" w:tentative="0">
      <w:start w:val="4"/>
      <w:numFmt w:val="japaneseCounting"/>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Mjc1NzdhZGMwNTlmN2IwMDk0ZTc5MTU1NmU2ZGExZWUifQ=="/>
  </w:docVars>
  <w:rsids>
    <w:rsidRoot w:val="00F1361C"/>
    <w:rsid w:val="000118A6"/>
    <w:rsid w:val="0002117A"/>
    <w:rsid w:val="000222C6"/>
    <w:rsid w:val="0002549F"/>
    <w:rsid w:val="000468DB"/>
    <w:rsid w:val="00055A8A"/>
    <w:rsid w:val="0006487A"/>
    <w:rsid w:val="00065F8F"/>
    <w:rsid w:val="00070A43"/>
    <w:rsid w:val="0007547B"/>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3D69"/>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3980"/>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7BF7"/>
    <w:rsid w:val="00380C92"/>
    <w:rsid w:val="003A484F"/>
    <w:rsid w:val="003A4883"/>
    <w:rsid w:val="003B0BE0"/>
    <w:rsid w:val="003B0C1B"/>
    <w:rsid w:val="003B39D8"/>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2798"/>
    <w:rsid w:val="004A711F"/>
    <w:rsid w:val="004B199D"/>
    <w:rsid w:val="004B4690"/>
    <w:rsid w:val="004E0A2D"/>
    <w:rsid w:val="004E206B"/>
    <w:rsid w:val="004E6DF7"/>
    <w:rsid w:val="004F0FBD"/>
    <w:rsid w:val="00505A47"/>
    <w:rsid w:val="00512FDA"/>
    <w:rsid w:val="00520DA0"/>
    <w:rsid w:val="005602B0"/>
    <w:rsid w:val="005664BB"/>
    <w:rsid w:val="00566FFA"/>
    <w:rsid w:val="0057481D"/>
    <w:rsid w:val="0058486E"/>
    <w:rsid w:val="00585B33"/>
    <w:rsid w:val="005863E1"/>
    <w:rsid w:val="0059014D"/>
    <w:rsid w:val="005A304C"/>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A7F8A"/>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9DF"/>
    <w:rsid w:val="00871F71"/>
    <w:rsid w:val="00872FD8"/>
    <w:rsid w:val="00885AF4"/>
    <w:rsid w:val="008939CD"/>
    <w:rsid w:val="008B768C"/>
    <w:rsid w:val="008C4DB1"/>
    <w:rsid w:val="008C4EAF"/>
    <w:rsid w:val="008C5176"/>
    <w:rsid w:val="008C7FD0"/>
    <w:rsid w:val="008E1DE7"/>
    <w:rsid w:val="008E707C"/>
    <w:rsid w:val="008F43BF"/>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3B3"/>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1D89"/>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5C2"/>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D7009"/>
    <w:rsid w:val="00FF1E02"/>
    <w:rsid w:val="00FF30B4"/>
    <w:rsid w:val="01233A9E"/>
    <w:rsid w:val="01423F24"/>
    <w:rsid w:val="02587777"/>
    <w:rsid w:val="02671768"/>
    <w:rsid w:val="027B04B8"/>
    <w:rsid w:val="028E07AB"/>
    <w:rsid w:val="02B20A25"/>
    <w:rsid w:val="030F1CBC"/>
    <w:rsid w:val="0353588E"/>
    <w:rsid w:val="036D2DAF"/>
    <w:rsid w:val="03C03826"/>
    <w:rsid w:val="03C350C4"/>
    <w:rsid w:val="03DF0AE6"/>
    <w:rsid w:val="042711AF"/>
    <w:rsid w:val="04F27A0F"/>
    <w:rsid w:val="05047743"/>
    <w:rsid w:val="057448C8"/>
    <w:rsid w:val="05C375FE"/>
    <w:rsid w:val="061B2209"/>
    <w:rsid w:val="06693D01"/>
    <w:rsid w:val="0669648E"/>
    <w:rsid w:val="067067B4"/>
    <w:rsid w:val="069468A4"/>
    <w:rsid w:val="06B801E1"/>
    <w:rsid w:val="07131EBF"/>
    <w:rsid w:val="07155C37"/>
    <w:rsid w:val="071A149F"/>
    <w:rsid w:val="074F408E"/>
    <w:rsid w:val="07A877C1"/>
    <w:rsid w:val="085E70A3"/>
    <w:rsid w:val="0874513E"/>
    <w:rsid w:val="098E1701"/>
    <w:rsid w:val="09A17C56"/>
    <w:rsid w:val="09AD7870"/>
    <w:rsid w:val="09B3669D"/>
    <w:rsid w:val="0A116422"/>
    <w:rsid w:val="0A2032A3"/>
    <w:rsid w:val="0A7B2255"/>
    <w:rsid w:val="0AA7304A"/>
    <w:rsid w:val="0AC05EBA"/>
    <w:rsid w:val="0ACB72E5"/>
    <w:rsid w:val="0B065FC2"/>
    <w:rsid w:val="0B3F7726"/>
    <w:rsid w:val="0B536D2E"/>
    <w:rsid w:val="0B5605CC"/>
    <w:rsid w:val="0B9E444D"/>
    <w:rsid w:val="0BAD28E2"/>
    <w:rsid w:val="0BD1285F"/>
    <w:rsid w:val="0BE86C04"/>
    <w:rsid w:val="0BF26547"/>
    <w:rsid w:val="0C0824E9"/>
    <w:rsid w:val="0C56381E"/>
    <w:rsid w:val="0C9975DD"/>
    <w:rsid w:val="0DA10224"/>
    <w:rsid w:val="0DB02216"/>
    <w:rsid w:val="0DE21480"/>
    <w:rsid w:val="0DEE2D3E"/>
    <w:rsid w:val="0F3D1472"/>
    <w:rsid w:val="0F59068B"/>
    <w:rsid w:val="0F735BF1"/>
    <w:rsid w:val="0F947289"/>
    <w:rsid w:val="0FDC366F"/>
    <w:rsid w:val="0FFE1A50"/>
    <w:rsid w:val="102F38FF"/>
    <w:rsid w:val="10C055FF"/>
    <w:rsid w:val="10E33C30"/>
    <w:rsid w:val="110765F0"/>
    <w:rsid w:val="11405FA6"/>
    <w:rsid w:val="114A3477"/>
    <w:rsid w:val="118107EC"/>
    <w:rsid w:val="119F2CCD"/>
    <w:rsid w:val="11A227BD"/>
    <w:rsid w:val="11CC3396"/>
    <w:rsid w:val="121F3E0E"/>
    <w:rsid w:val="122D2087"/>
    <w:rsid w:val="126B0E01"/>
    <w:rsid w:val="129C0FBA"/>
    <w:rsid w:val="12DC585B"/>
    <w:rsid w:val="13031039"/>
    <w:rsid w:val="135A6D83"/>
    <w:rsid w:val="13897791"/>
    <w:rsid w:val="13A04ADA"/>
    <w:rsid w:val="13A9034A"/>
    <w:rsid w:val="13E23345"/>
    <w:rsid w:val="15207D7D"/>
    <w:rsid w:val="15363948"/>
    <w:rsid w:val="156264EB"/>
    <w:rsid w:val="15861E85"/>
    <w:rsid w:val="16822376"/>
    <w:rsid w:val="16AF0285"/>
    <w:rsid w:val="16BB723D"/>
    <w:rsid w:val="16C3745D"/>
    <w:rsid w:val="16CD5BE6"/>
    <w:rsid w:val="17123F41"/>
    <w:rsid w:val="1793097A"/>
    <w:rsid w:val="17935CA0"/>
    <w:rsid w:val="184B770B"/>
    <w:rsid w:val="18534BA8"/>
    <w:rsid w:val="18B93191"/>
    <w:rsid w:val="18BF5A03"/>
    <w:rsid w:val="19375FF7"/>
    <w:rsid w:val="194C312C"/>
    <w:rsid w:val="1A937147"/>
    <w:rsid w:val="1AF916A0"/>
    <w:rsid w:val="1AF95B35"/>
    <w:rsid w:val="1B0011DE"/>
    <w:rsid w:val="1B9C64CF"/>
    <w:rsid w:val="1BEB104E"/>
    <w:rsid w:val="1C5823F6"/>
    <w:rsid w:val="1D012A8E"/>
    <w:rsid w:val="1D155CEE"/>
    <w:rsid w:val="1D206D8E"/>
    <w:rsid w:val="1DC54782"/>
    <w:rsid w:val="1DDE2DCF"/>
    <w:rsid w:val="1DE63A32"/>
    <w:rsid w:val="1DFE6FCD"/>
    <w:rsid w:val="1DFFD3F7"/>
    <w:rsid w:val="1E5866DD"/>
    <w:rsid w:val="1E7D45CD"/>
    <w:rsid w:val="1E8B5456"/>
    <w:rsid w:val="1EDA5344"/>
    <w:rsid w:val="1F010B23"/>
    <w:rsid w:val="1F3B03AF"/>
    <w:rsid w:val="1FB80F3D"/>
    <w:rsid w:val="1FBD1855"/>
    <w:rsid w:val="1FF42436"/>
    <w:rsid w:val="1FF97A4C"/>
    <w:rsid w:val="206F5F60"/>
    <w:rsid w:val="20CC01D5"/>
    <w:rsid w:val="20E93F65"/>
    <w:rsid w:val="20FF5536"/>
    <w:rsid w:val="212471FF"/>
    <w:rsid w:val="21254871"/>
    <w:rsid w:val="21311468"/>
    <w:rsid w:val="2136082C"/>
    <w:rsid w:val="216929AF"/>
    <w:rsid w:val="216D6763"/>
    <w:rsid w:val="21B06830"/>
    <w:rsid w:val="22904C40"/>
    <w:rsid w:val="240371BF"/>
    <w:rsid w:val="2414196A"/>
    <w:rsid w:val="241D0191"/>
    <w:rsid w:val="24270C66"/>
    <w:rsid w:val="24AC7783"/>
    <w:rsid w:val="25560F8D"/>
    <w:rsid w:val="257A162F"/>
    <w:rsid w:val="25B14925"/>
    <w:rsid w:val="26070023"/>
    <w:rsid w:val="26172211"/>
    <w:rsid w:val="26404627"/>
    <w:rsid w:val="27231678"/>
    <w:rsid w:val="274517C9"/>
    <w:rsid w:val="27B04698"/>
    <w:rsid w:val="27CEBCD3"/>
    <w:rsid w:val="27E54B3B"/>
    <w:rsid w:val="27E806D5"/>
    <w:rsid w:val="27FA0805"/>
    <w:rsid w:val="2815563F"/>
    <w:rsid w:val="28754330"/>
    <w:rsid w:val="295F5E6C"/>
    <w:rsid w:val="29946A38"/>
    <w:rsid w:val="29A0362E"/>
    <w:rsid w:val="29C55F3E"/>
    <w:rsid w:val="29D07A70"/>
    <w:rsid w:val="29F73FF4"/>
    <w:rsid w:val="29FD04D3"/>
    <w:rsid w:val="2A757E5C"/>
    <w:rsid w:val="2AFE098F"/>
    <w:rsid w:val="2B507F2A"/>
    <w:rsid w:val="2BDC73E3"/>
    <w:rsid w:val="2C1B0D4A"/>
    <w:rsid w:val="2C293467"/>
    <w:rsid w:val="2C4209CD"/>
    <w:rsid w:val="2C6D55AF"/>
    <w:rsid w:val="2CF92D3D"/>
    <w:rsid w:val="2D0D371C"/>
    <w:rsid w:val="2D8C4390"/>
    <w:rsid w:val="2D8D4985"/>
    <w:rsid w:val="2D9B0395"/>
    <w:rsid w:val="2DA91BB8"/>
    <w:rsid w:val="2E750BE6"/>
    <w:rsid w:val="2E9279E9"/>
    <w:rsid w:val="2EB86D24"/>
    <w:rsid w:val="2F283EAA"/>
    <w:rsid w:val="2F463807"/>
    <w:rsid w:val="2F87044A"/>
    <w:rsid w:val="2F8D6403"/>
    <w:rsid w:val="2FF5DC19"/>
    <w:rsid w:val="307551E0"/>
    <w:rsid w:val="3095731D"/>
    <w:rsid w:val="30B97C74"/>
    <w:rsid w:val="310060F6"/>
    <w:rsid w:val="312468F3"/>
    <w:rsid w:val="31336B36"/>
    <w:rsid w:val="31350872"/>
    <w:rsid w:val="315F792B"/>
    <w:rsid w:val="31981078"/>
    <w:rsid w:val="319F7F4E"/>
    <w:rsid w:val="31AF440F"/>
    <w:rsid w:val="31C06AA2"/>
    <w:rsid w:val="31ED3189"/>
    <w:rsid w:val="31F91B2E"/>
    <w:rsid w:val="322E4BAF"/>
    <w:rsid w:val="32742892"/>
    <w:rsid w:val="327B225B"/>
    <w:rsid w:val="32C26F97"/>
    <w:rsid w:val="32CD4892"/>
    <w:rsid w:val="32D560F7"/>
    <w:rsid w:val="32D83E39"/>
    <w:rsid w:val="32EE71B8"/>
    <w:rsid w:val="331E3B25"/>
    <w:rsid w:val="33274478"/>
    <w:rsid w:val="33337DAC"/>
    <w:rsid w:val="333A5484"/>
    <w:rsid w:val="338C1238"/>
    <w:rsid w:val="34390907"/>
    <w:rsid w:val="343B467F"/>
    <w:rsid w:val="344F1ED9"/>
    <w:rsid w:val="34601162"/>
    <w:rsid w:val="34734046"/>
    <w:rsid w:val="348222AE"/>
    <w:rsid w:val="34D66C80"/>
    <w:rsid w:val="350C348F"/>
    <w:rsid w:val="35170C48"/>
    <w:rsid w:val="351D1FD7"/>
    <w:rsid w:val="35A3428A"/>
    <w:rsid w:val="35D70C16"/>
    <w:rsid w:val="35EF5186"/>
    <w:rsid w:val="364D3A80"/>
    <w:rsid w:val="36536BFD"/>
    <w:rsid w:val="36B64FAF"/>
    <w:rsid w:val="36DD1A1E"/>
    <w:rsid w:val="36FD7444"/>
    <w:rsid w:val="37217B5C"/>
    <w:rsid w:val="37DE5A4E"/>
    <w:rsid w:val="380F20AB"/>
    <w:rsid w:val="384F1DA4"/>
    <w:rsid w:val="387E5813"/>
    <w:rsid w:val="38F74A71"/>
    <w:rsid w:val="397B72CC"/>
    <w:rsid w:val="39B90593"/>
    <w:rsid w:val="39BD78E5"/>
    <w:rsid w:val="39FFA2B2"/>
    <w:rsid w:val="3A8B515E"/>
    <w:rsid w:val="3A9E3272"/>
    <w:rsid w:val="3AC058DE"/>
    <w:rsid w:val="3B334302"/>
    <w:rsid w:val="3B5F0C53"/>
    <w:rsid w:val="3C073099"/>
    <w:rsid w:val="3C1A7270"/>
    <w:rsid w:val="3C326368"/>
    <w:rsid w:val="3C412728"/>
    <w:rsid w:val="3C66733D"/>
    <w:rsid w:val="3C890094"/>
    <w:rsid w:val="3CA60B04"/>
    <w:rsid w:val="3CA628B2"/>
    <w:rsid w:val="3CCF318E"/>
    <w:rsid w:val="3CD83D46"/>
    <w:rsid w:val="3D065BAF"/>
    <w:rsid w:val="3D190190"/>
    <w:rsid w:val="3D216AD8"/>
    <w:rsid w:val="3D251A29"/>
    <w:rsid w:val="3D37175C"/>
    <w:rsid w:val="3D5642D8"/>
    <w:rsid w:val="3DF62F76"/>
    <w:rsid w:val="3E573E64"/>
    <w:rsid w:val="3E742C68"/>
    <w:rsid w:val="3EBB2934"/>
    <w:rsid w:val="3F1373A1"/>
    <w:rsid w:val="3F776BDE"/>
    <w:rsid w:val="3F802D74"/>
    <w:rsid w:val="3FBE50DF"/>
    <w:rsid w:val="3FDFEB96"/>
    <w:rsid w:val="3FFA232E"/>
    <w:rsid w:val="40B732E0"/>
    <w:rsid w:val="40E37C31"/>
    <w:rsid w:val="4152091B"/>
    <w:rsid w:val="41856F3A"/>
    <w:rsid w:val="4194777E"/>
    <w:rsid w:val="41C51A2C"/>
    <w:rsid w:val="421666B2"/>
    <w:rsid w:val="42334364"/>
    <w:rsid w:val="4243599A"/>
    <w:rsid w:val="428471F1"/>
    <w:rsid w:val="42BF647C"/>
    <w:rsid w:val="431F0558"/>
    <w:rsid w:val="43F108B7"/>
    <w:rsid w:val="44DD06EB"/>
    <w:rsid w:val="44E81CBA"/>
    <w:rsid w:val="45085EB8"/>
    <w:rsid w:val="45401AF6"/>
    <w:rsid w:val="45505AB1"/>
    <w:rsid w:val="456B28EB"/>
    <w:rsid w:val="4574072F"/>
    <w:rsid w:val="46192347"/>
    <w:rsid w:val="46396545"/>
    <w:rsid w:val="46845108"/>
    <w:rsid w:val="46DC75FC"/>
    <w:rsid w:val="472C432F"/>
    <w:rsid w:val="474653BD"/>
    <w:rsid w:val="47B01E42"/>
    <w:rsid w:val="480E2755"/>
    <w:rsid w:val="481D611E"/>
    <w:rsid w:val="482A15FB"/>
    <w:rsid w:val="48622294"/>
    <w:rsid w:val="48A56114"/>
    <w:rsid w:val="48DB38E3"/>
    <w:rsid w:val="496F0BFB"/>
    <w:rsid w:val="49956188"/>
    <w:rsid w:val="49A30776"/>
    <w:rsid w:val="49CC1B61"/>
    <w:rsid w:val="4ACF6009"/>
    <w:rsid w:val="4B35552D"/>
    <w:rsid w:val="4B9366F7"/>
    <w:rsid w:val="4BF057AE"/>
    <w:rsid w:val="4C746529"/>
    <w:rsid w:val="4CB9218D"/>
    <w:rsid w:val="4CCF375F"/>
    <w:rsid w:val="4D1F0243"/>
    <w:rsid w:val="4D432386"/>
    <w:rsid w:val="4DC31516"/>
    <w:rsid w:val="4DCF7EBB"/>
    <w:rsid w:val="4DEA4CF4"/>
    <w:rsid w:val="4DF93351"/>
    <w:rsid w:val="4E2547B7"/>
    <w:rsid w:val="4E281212"/>
    <w:rsid w:val="4E393586"/>
    <w:rsid w:val="4E5773D3"/>
    <w:rsid w:val="4E7445BE"/>
    <w:rsid w:val="4E760336"/>
    <w:rsid w:val="4ECE2238"/>
    <w:rsid w:val="4EEF2AAB"/>
    <w:rsid w:val="4F0911AA"/>
    <w:rsid w:val="4F0E5830"/>
    <w:rsid w:val="4F1B2C8C"/>
    <w:rsid w:val="4F5F526E"/>
    <w:rsid w:val="5012408F"/>
    <w:rsid w:val="50181F31"/>
    <w:rsid w:val="50667B86"/>
    <w:rsid w:val="507E7976"/>
    <w:rsid w:val="50E0418D"/>
    <w:rsid w:val="50E35A2B"/>
    <w:rsid w:val="51A451BA"/>
    <w:rsid w:val="51CB2747"/>
    <w:rsid w:val="52232583"/>
    <w:rsid w:val="52595FA5"/>
    <w:rsid w:val="52727066"/>
    <w:rsid w:val="5382152B"/>
    <w:rsid w:val="53883E95"/>
    <w:rsid w:val="53EF3AFC"/>
    <w:rsid w:val="53FB2302"/>
    <w:rsid w:val="53FF0DCE"/>
    <w:rsid w:val="5402266C"/>
    <w:rsid w:val="545F361A"/>
    <w:rsid w:val="546102C2"/>
    <w:rsid w:val="547D1CF3"/>
    <w:rsid w:val="54C142D5"/>
    <w:rsid w:val="550146D2"/>
    <w:rsid w:val="55377FD3"/>
    <w:rsid w:val="55464F8A"/>
    <w:rsid w:val="55564A1D"/>
    <w:rsid w:val="5560764A"/>
    <w:rsid w:val="55C04EA2"/>
    <w:rsid w:val="564B654C"/>
    <w:rsid w:val="569B1939"/>
    <w:rsid w:val="56AD4B11"/>
    <w:rsid w:val="56C836F9"/>
    <w:rsid w:val="56EF512A"/>
    <w:rsid w:val="57672F12"/>
    <w:rsid w:val="57680A38"/>
    <w:rsid w:val="582B71E7"/>
    <w:rsid w:val="58385F74"/>
    <w:rsid w:val="583A0151"/>
    <w:rsid w:val="587360E8"/>
    <w:rsid w:val="5A405C9C"/>
    <w:rsid w:val="5A5534F6"/>
    <w:rsid w:val="5A5A0B0C"/>
    <w:rsid w:val="5AA77AC9"/>
    <w:rsid w:val="5AD84127"/>
    <w:rsid w:val="5B1824D5"/>
    <w:rsid w:val="5BFBCED2"/>
    <w:rsid w:val="5C5123E2"/>
    <w:rsid w:val="5C7E485A"/>
    <w:rsid w:val="5CA5069D"/>
    <w:rsid w:val="5D2E44D2"/>
    <w:rsid w:val="5D6121B1"/>
    <w:rsid w:val="5E6A153A"/>
    <w:rsid w:val="5E6A778C"/>
    <w:rsid w:val="5E8C325E"/>
    <w:rsid w:val="5ECC7AFE"/>
    <w:rsid w:val="5EE217C3"/>
    <w:rsid w:val="5F6E6E08"/>
    <w:rsid w:val="5FFD4AC4"/>
    <w:rsid w:val="60167935"/>
    <w:rsid w:val="60614C15"/>
    <w:rsid w:val="60A47D6E"/>
    <w:rsid w:val="60B82A30"/>
    <w:rsid w:val="611B6E87"/>
    <w:rsid w:val="612A4ED3"/>
    <w:rsid w:val="613D4CE3"/>
    <w:rsid w:val="61B03707"/>
    <w:rsid w:val="61E3588B"/>
    <w:rsid w:val="61E829FD"/>
    <w:rsid w:val="61FF01EB"/>
    <w:rsid w:val="62797F9D"/>
    <w:rsid w:val="62832BCA"/>
    <w:rsid w:val="62B1716A"/>
    <w:rsid w:val="631122C9"/>
    <w:rsid w:val="6335141E"/>
    <w:rsid w:val="64074337"/>
    <w:rsid w:val="642B52C7"/>
    <w:rsid w:val="64426DE8"/>
    <w:rsid w:val="64432611"/>
    <w:rsid w:val="64963088"/>
    <w:rsid w:val="65533C99"/>
    <w:rsid w:val="65556AA0"/>
    <w:rsid w:val="659E2FB2"/>
    <w:rsid w:val="65BC1D7D"/>
    <w:rsid w:val="66481F61"/>
    <w:rsid w:val="665C5C0C"/>
    <w:rsid w:val="666F3B91"/>
    <w:rsid w:val="6686712D"/>
    <w:rsid w:val="671B766F"/>
    <w:rsid w:val="676A160C"/>
    <w:rsid w:val="67704F2B"/>
    <w:rsid w:val="67E556C5"/>
    <w:rsid w:val="67F05235"/>
    <w:rsid w:val="67F89E02"/>
    <w:rsid w:val="684828EC"/>
    <w:rsid w:val="685079F2"/>
    <w:rsid w:val="6853303E"/>
    <w:rsid w:val="685FB0D7"/>
    <w:rsid w:val="6864524C"/>
    <w:rsid w:val="68C0583B"/>
    <w:rsid w:val="68EE057E"/>
    <w:rsid w:val="691B1DAE"/>
    <w:rsid w:val="69BA15C7"/>
    <w:rsid w:val="69EC2CB3"/>
    <w:rsid w:val="69EE7EB4"/>
    <w:rsid w:val="6A6C0BC3"/>
    <w:rsid w:val="6A975464"/>
    <w:rsid w:val="6B0074AE"/>
    <w:rsid w:val="6B1F4423"/>
    <w:rsid w:val="6B2B3DFF"/>
    <w:rsid w:val="6B833C3B"/>
    <w:rsid w:val="6BF863D7"/>
    <w:rsid w:val="6C2E004A"/>
    <w:rsid w:val="6C4A05C8"/>
    <w:rsid w:val="6C6B60A1"/>
    <w:rsid w:val="6C904861"/>
    <w:rsid w:val="6CEE2D6F"/>
    <w:rsid w:val="6D1F1AF4"/>
    <w:rsid w:val="6D4A4A10"/>
    <w:rsid w:val="6D4D6A44"/>
    <w:rsid w:val="6D5270A3"/>
    <w:rsid w:val="6D6F26C8"/>
    <w:rsid w:val="6D9914F3"/>
    <w:rsid w:val="6DA00AD4"/>
    <w:rsid w:val="6DAA5650"/>
    <w:rsid w:val="6DD736D1"/>
    <w:rsid w:val="6E31797E"/>
    <w:rsid w:val="6E361438"/>
    <w:rsid w:val="6E804461"/>
    <w:rsid w:val="6E8D72AA"/>
    <w:rsid w:val="6EAD4B62"/>
    <w:rsid w:val="6ED36BA4"/>
    <w:rsid w:val="6EDC3D8E"/>
    <w:rsid w:val="6F072F89"/>
    <w:rsid w:val="6F2474E3"/>
    <w:rsid w:val="6F2E4DF8"/>
    <w:rsid w:val="6F305E87"/>
    <w:rsid w:val="6F8771F3"/>
    <w:rsid w:val="70701266"/>
    <w:rsid w:val="70C075D3"/>
    <w:rsid w:val="70CA344A"/>
    <w:rsid w:val="70FF1FB5"/>
    <w:rsid w:val="72734D90"/>
    <w:rsid w:val="73010267"/>
    <w:rsid w:val="733C4DFB"/>
    <w:rsid w:val="735A7977"/>
    <w:rsid w:val="735D6B82"/>
    <w:rsid w:val="736305DA"/>
    <w:rsid w:val="737A34D9"/>
    <w:rsid w:val="73C9129D"/>
    <w:rsid w:val="73EA0EDA"/>
    <w:rsid w:val="73FB4CB6"/>
    <w:rsid w:val="73FE47A6"/>
    <w:rsid w:val="752B1407"/>
    <w:rsid w:val="75585ABA"/>
    <w:rsid w:val="759B6318"/>
    <w:rsid w:val="75D73501"/>
    <w:rsid w:val="75DB4D9F"/>
    <w:rsid w:val="75DC4673"/>
    <w:rsid w:val="76523C39"/>
    <w:rsid w:val="767174B1"/>
    <w:rsid w:val="76787A26"/>
    <w:rsid w:val="767B2E15"/>
    <w:rsid w:val="76950A1B"/>
    <w:rsid w:val="76BE4966"/>
    <w:rsid w:val="777B1796"/>
    <w:rsid w:val="77AD276B"/>
    <w:rsid w:val="78C37D6C"/>
    <w:rsid w:val="7908556B"/>
    <w:rsid w:val="79376AF8"/>
    <w:rsid w:val="79870D9A"/>
    <w:rsid w:val="79C348D1"/>
    <w:rsid w:val="79FA77BE"/>
    <w:rsid w:val="7AD41DBD"/>
    <w:rsid w:val="7AE85868"/>
    <w:rsid w:val="7B6B0973"/>
    <w:rsid w:val="7B902188"/>
    <w:rsid w:val="7BA21EBB"/>
    <w:rsid w:val="7BA9149B"/>
    <w:rsid w:val="7BC02843"/>
    <w:rsid w:val="7C120DEF"/>
    <w:rsid w:val="7C291555"/>
    <w:rsid w:val="7CDC7CD3"/>
    <w:rsid w:val="7D1D5C9D"/>
    <w:rsid w:val="7D676F18"/>
    <w:rsid w:val="7E2E5C88"/>
    <w:rsid w:val="7E4E559F"/>
    <w:rsid w:val="7E7FEE63"/>
    <w:rsid w:val="7EA47007"/>
    <w:rsid w:val="7EB50157"/>
    <w:rsid w:val="7ECD36F3"/>
    <w:rsid w:val="7EE97F06"/>
    <w:rsid w:val="7F2132BF"/>
    <w:rsid w:val="7FAF5630"/>
    <w:rsid w:val="7FBBAE2C"/>
    <w:rsid w:val="7FDA7299"/>
    <w:rsid w:val="7FF38F5F"/>
    <w:rsid w:val="7FFB59DC"/>
    <w:rsid w:val="87BF14C5"/>
    <w:rsid w:val="97EAE088"/>
    <w:rsid w:val="9B5945F9"/>
    <w:rsid w:val="A56F52D3"/>
    <w:rsid w:val="AB9D6627"/>
    <w:rsid w:val="BFFB77D3"/>
    <w:rsid w:val="D55E0B7C"/>
    <w:rsid w:val="DADF5282"/>
    <w:rsid w:val="DFBEF3EA"/>
    <w:rsid w:val="EBCB9DD2"/>
    <w:rsid w:val="F1CE82BE"/>
    <w:rsid w:val="F6F5916F"/>
    <w:rsid w:val="F73CB6CC"/>
    <w:rsid w:val="F8312DC6"/>
    <w:rsid w:val="FB7BFAE9"/>
    <w:rsid w:val="FE776F89"/>
    <w:rsid w:val="FF7A1F74"/>
    <w:rsid w:val="FFFCFD38"/>
    <w:rsid w:val="FFFFBDAF"/>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unhideWhenUsed/>
    <w:qFormat/>
    <w:uiPriority w:val="9"/>
    <w:pPr>
      <w:keepNext/>
      <w:keepLines/>
      <w:spacing w:before="260" w:after="260" w:line="416" w:lineRule="auto"/>
      <w:outlineLvl w:val="1"/>
    </w:pPr>
    <w:rPr>
      <w:rFonts w:ascii="Cambria" w:hAnsi="Cambria" w:eastAsia="宋体" w:cs="黑体"/>
      <w:b/>
      <w:bCs/>
      <w:sz w:val="32"/>
      <w:szCs w:val="32"/>
    </w:rPr>
  </w:style>
  <w:style w:type="paragraph" w:styleId="4">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5">
    <w:name w:val="Body Text"/>
    <w:basedOn w:val="1"/>
    <w:link w:val="30"/>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3"/>
    <w:unhideWhenUsed/>
    <w:qFormat/>
    <w:uiPriority w:val="99"/>
    <w:rPr>
      <w:sz w:val="18"/>
      <w:szCs w:val="18"/>
    </w:rPr>
  </w:style>
  <w:style w:type="paragraph" w:styleId="9">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99"/>
    <w:pPr>
      <w:spacing w:beforeAutospacing="1" w:afterAutospacing="1"/>
      <w:jc w:val="left"/>
    </w:pPr>
    <w:rPr>
      <w:rFonts w:cs="Times New Roman"/>
      <w:kern w:val="0"/>
      <w:sz w:val="24"/>
    </w:rPr>
  </w:style>
  <w:style w:type="paragraph" w:styleId="14">
    <w:name w:val="Body Text First Indent 2"/>
    <w:basedOn w:val="6"/>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u w:val="single"/>
    </w:rPr>
  </w:style>
  <w:style w:type="paragraph" w:customStyle="1" w:styleId="1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TOC 标题1"/>
    <w:basedOn w:val="2"/>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2">
    <w:name w:val="TOC 标题2"/>
    <w:basedOn w:val="2"/>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3">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24">
    <w:name w:val="List Paragraph"/>
    <w:basedOn w:val="1"/>
    <w:unhideWhenUsed/>
    <w:qFormat/>
    <w:uiPriority w:val="99"/>
    <w:pPr>
      <w:ind w:firstLine="420" w:firstLineChars="200"/>
    </w:pPr>
  </w:style>
  <w:style w:type="character" w:customStyle="1" w:styleId="25">
    <w:name w:val="Header Char"/>
    <w:basedOn w:val="16"/>
    <w:semiHidden/>
    <w:qFormat/>
    <w:uiPriority w:val="99"/>
    <w:rPr>
      <w:rFonts w:ascii="Times New Roman" w:hAnsi="Times New Roman"/>
      <w:sz w:val="18"/>
      <w:szCs w:val="18"/>
    </w:rPr>
  </w:style>
  <w:style w:type="character" w:customStyle="1" w:styleId="26">
    <w:name w:val="页眉 Char"/>
    <w:link w:val="10"/>
    <w:semiHidden/>
    <w:qFormat/>
    <w:locked/>
    <w:uiPriority w:val="99"/>
    <w:rPr>
      <w:sz w:val="18"/>
    </w:rPr>
  </w:style>
  <w:style w:type="character" w:customStyle="1" w:styleId="27">
    <w:name w:val="Footer Char"/>
    <w:basedOn w:val="16"/>
    <w:semiHidden/>
    <w:qFormat/>
    <w:uiPriority w:val="99"/>
    <w:rPr>
      <w:rFonts w:ascii="Times New Roman" w:hAnsi="Times New Roman"/>
      <w:sz w:val="18"/>
      <w:szCs w:val="18"/>
    </w:rPr>
  </w:style>
  <w:style w:type="character" w:customStyle="1" w:styleId="28">
    <w:name w:val="页脚 Char"/>
    <w:link w:val="9"/>
    <w:qFormat/>
    <w:locked/>
    <w:uiPriority w:val="99"/>
    <w:rPr>
      <w:sz w:val="18"/>
    </w:rPr>
  </w:style>
  <w:style w:type="character" w:customStyle="1" w:styleId="29">
    <w:name w:val="Body Text Char"/>
    <w:basedOn w:val="16"/>
    <w:semiHidden/>
    <w:qFormat/>
    <w:uiPriority w:val="99"/>
    <w:rPr>
      <w:rFonts w:ascii="Times New Roman" w:hAnsi="Times New Roman"/>
      <w:szCs w:val="24"/>
    </w:rPr>
  </w:style>
  <w:style w:type="character" w:customStyle="1" w:styleId="30">
    <w:name w:val="正文文本 Char"/>
    <w:link w:val="5"/>
    <w:qFormat/>
    <w:locked/>
    <w:uiPriority w:val="99"/>
    <w:rPr>
      <w:rFonts w:ascii="仿宋_GB2312" w:hAnsi="Times New Roman" w:eastAsia="仿宋_GB2312"/>
      <w:sz w:val="24"/>
    </w:rPr>
  </w:style>
  <w:style w:type="character" w:customStyle="1" w:styleId="31">
    <w:name w:val="标题 1 Char"/>
    <w:basedOn w:val="16"/>
    <w:link w:val="2"/>
    <w:qFormat/>
    <w:uiPriority w:val="9"/>
    <w:rPr>
      <w:rFonts w:ascii="Times New Roman" w:hAnsi="Times New Roman"/>
      <w:b/>
      <w:bCs/>
      <w:kern w:val="44"/>
      <w:sz w:val="44"/>
      <w:szCs w:val="44"/>
    </w:rPr>
  </w:style>
  <w:style w:type="character" w:customStyle="1" w:styleId="32">
    <w:name w:val="标题 2 Char"/>
    <w:basedOn w:val="16"/>
    <w:link w:val="3"/>
    <w:qFormat/>
    <w:uiPriority w:val="9"/>
    <w:rPr>
      <w:rFonts w:ascii="Cambria" w:hAnsi="Cambria" w:eastAsia="宋体" w:cs="黑体"/>
      <w:b/>
      <w:bCs/>
      <w:kern w:val="2"/>
      <w:sz w:val="32"/>
      <w:szCs w:val="32"/>
    </w:rPr>
  </w:style>
  <w:style w:type="character" w:customStyle="1" w:styleId="33">
    <w:name w:val="批注框文本 Char"/>
    <w:basedOn w:val="16"/>
    <w:link w:val="8"/>
    <w:semiHidden/>
    <w:qFormat/>
    <w:uiPriority w:val="99"/>
    <w:rPr>
      <w:rFonts w:ascii="Times New Roman" w:hAnsi="Times New Roman"/>
      <w:kern w:val="2"/>
      <w:sz w:val="18"/>
      <w:szCs w:val="18"/>
    </w:rPr>
  </w:style>
  <w:style w:type="character" w:customStyle="1" w:styleId="34">
    <w:name w:val="标题 3 Char"/>
    <w:basedOn w:val="16"/>
    <w:link w:val="4"/>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7003</Words>
  <Characters>7740</Characters>
  <Lines>61</Lines>
  <Paragraphs>17</Paragraphs>
  <TotalTime>0</TotalTime>
  <ScaleCrop>false</ScaleCrop>
  <LinksUpToDate>false</LinksUpToDate>
  <CharactersWithSpaces>7824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2020-08-08T17:49:00Z</dcterms:created>
  <dc:creator>曹颖</dc:creator>
  <cp:lastModifiedBy>杨龙</cp:lastModifiedBy>
  <cp:lastPrinted>2021-08-02T19:56:00Z</cp:lastPrinted>
  <dcterms:modified xsi:type="dcterms:W3CDTF">2024-12-19T03:07:08Z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CE07CEF803CB432B89815919801917C7_12</vt:lpwstr>
  </property>
</Properties>
</file>