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F6A17">
      <w:pPr>
        <w:spacing w:line="600" w:lineRule="exact"/>
        <w:jc w:val="center"/>
        <w:outlineLvl w:val="0"/>
        <w:rPr>
          <w:rFonts w:hint="eastAsia" w:ascii="方正小标宋简体" w:hAnsi="宋体" w:eastAsia="方正小标宋简体"/>
          <w:color w:val="000000"/>
          <w:sz w:val="72"/>
          <w:szCs w:val="72"/>
          <w:lang w:val="en-US" w:eastAsia="zh-CN"/>
        </w:rPr>
      </w:pPr>
      <w:r>
        <w:rPr>
          <w:rFonts w:hint="eastAsia" w:ascii="方正小标宋简体" w:hAnsi="宋体" w:eastAsia="方正小标宋简体"/>
          <w:color w:val="000000"/>
          <w:sz w:val="72"/>
          <w:szCs w:val="72"/>
          <w:lang w:val="en-US" w:eastAsia="zh-CN"/>
        </w:rPr>
        <w:t xml:space="preserve"> </w:t>
      </w:r>
    </w:p>
    <w:p w14:paraId="65C79555">
      <w:pPr>
        <w:spacing w:line="600" w:lineRule="exact"/>
        <w:jc w:val="center"/>
        <w:outlineLvl w:val="0"/>
        <w:rPr>
          <w:rFonts w:ascii="方正小标宋简体" w:hAnsi="宋体" w:eastAsia="方正小标宋简体"/>
          <w:color w:val="000000"/>
          <w:sz w:val="72"/>
          <w:szCs w:val="72"/>
        </w:rPr>
      </w:pPr>
    </w:p>
    <w:p w14:paraId="0EF1D45C">
      <w:pPr>
        <w:spacing w:line="600" w:lineRule="exact"/>
        <w:jc w:val="center"/>
        <w:outlineLvl w:val="0"/>
        <w:rPr>
          <w:rFonts w:ascii="方正小标宋简体" w:hAnsi="宋体" w:eastAsia="方正小标宋简体"/>
          <w:color w:val="000000"/>
          <w:sz w:val="72"/>
          <w:szCs w:val="72"/>
        </w:rPr>
      </w:pPr>
    </w:p>
    <w:p w14:paraId="474B946E">
      <w:pPr>
        <w:spacing w:line="600" w:lineRule="exact"/>
        <w:jc w:val="center"/>
        <w:outlineLvl w:val="0"/>
        <w:rPr>
          <w:rFonts w:ascii="方正小标宋简体" w:hAnsi="宋体" w:eastAsia="方正小标宋简体"/>
          <w:color w:val="000000"/>
          <w:sz w:val="72"/>
          <w:szCs w:val="72"/>
        </w:rPr>
      </w:pPr>
    </w:p>
    <w:p w14:paraId="6FCA5FF2">
      <w:pPr>
        <w:spacing w:line="600" w:lineRule="exact"/>
        <w:jc w:val="center"/>
        <w:outlineLvl w:val="0"/>
        <w:rPr>
          <w:rFonts w:ascii="方正小标宋简体" w:hAnsi="宋体" w:eastAsia="方正小标宋简体"/>
          <w:color w:val="000000"/>
          <w:sz w:val="72"/>
          <w:szCs w:val="72"/>
        </w:rPr>
      </w:pPr>
    </w:p>
    <w:p w14:paraId="0B5A77B3">
      <w:pPr>
        <w:spacing w:line="600" w:lineRule="exact"/>
        <w:jc w:val="center"/>
        <w:outlineLvl w:val="0"/>
        <w:rPr>
          <w:rFonts w:ascii="方正小标宋简体" w:hAnsi="宋体" w:eastAsia="方正小标宋简体"/>
          <w:color w:val="000000"/>
          <w:sz w:val="72"/>
          <w:szCs w:val="72"/>
        </w:rPr>
      </w:pPr>
    </w:p>
    <w:p w14:paraId="566F2BDD">
      <w:pPr>
        <w:spacing w:line="600" w:lineRule="exact"/>
        <w:jc w:val="center"/>
        <w:outlineLvl w:val="0"/>
        <w:rPr>
          <w:rFonts w:ascii="方正小标宋简体" w:hAnsi="宋体" w:eastAsia="方正小标宋简体"/>
          <w:color w:val="000000"/>
          <w:sz w:val="72"/>
          <w:szCs w:val="72"/>
        </w:rPr>
      </w:pPr>
    </w:p>
    <w:p w14:paraId="03C04469">
      <w:pPr>
        <w:adjustRightInd w:val="0"/>
        <w:snapToGrid w:val="0"/>
        <w:spacing w:line="360" w:lineRule="auto"/>
        <w:jc w:val="center"/>
        <w:outlineLvl w:val="0"/>
        <w:rPr>
          <w:rFonts w:ascii="方正小标宋简体" w:hAnsi="宋体" w:eastAsia="方正小标宋简体"/>
          <w:color w:val="000000"/>
          <w:sz w:val="72"/>
          <w:szCs w:val="72"/>
        </w:rPr>
      </w:pPr>
      <w:bookmarkStart w:id="0" w:name="_Toc15396597"/>
      <w:bookmarkStart w:id="1" w:name="_Toc15377193"/>
      <w:bookmarkStart w:id="2" w:name="_Toc15396475"/>
      <w:bookmarkStart w:id="3" w:name="_Toc15377425"/>
      <w:bookmarkStart w:id="4" w:name="_Toc15378441"/>
      <w:r>
        <w:rPr>
          <w:rFonts w:ascii="黑体" w:hAnsi="黑体" w:eastAsia="黑体"/>
          <w:color w:val="000000"/>
          <w:sz w:val="72"/>
          <w:szCs w:val="72"/>
        </w:rPr>
        <w:t>20</w:t>
      </w:r>
      <w:r>
        <w:rPr>
          <w:rFonts w:hint="eastAsia" w:ascii="黑体" w:hAnsi="黑体" w:eastAsia="黑体"/>
          <w:color w:val="000000"/>
          <w:sz w:val="72"/>
          <w:szCs w:val="72"/>
          <w:lang w:val="en-US" w:eastAsia="zh-CN"/>
        </w:rPr>
        <w:t>22</w:t>
      </w:r>
      <w:r>
        <w:rPr>
          <w:rFonts w:hint="eastAsia" w:ascii="方正小标宋简体" w:hAnsi="宋体" w:eastAsia="方正小标宋简体"/>
          <w:color w:val="000000"/>
          <w:sz w:val="72"/>
          <w:szCs w:val="72"/>
        </w:rPr>
        <w:t>年度</w:t>
      </w:r>
      <w:bookmarkEnd w:id="0"/>
      <w:bookmarkEnd w:id="1"/>
      <w:bookmarkEnd w:id="2"/>
      <w:bookmarkEnd w:id="3"/>
      <w:bookmarkEnd w:id="4"/>
    </w:p>
    <w:p w14:paraId="3069E95A">
      <w:pPr>
        <w:adjustRightInd w:val="0"/>
        <w:snapToGrid w:val="0"/>
        <w:spacing w:line="360" w:lineRule="auto"/>
        <w:jc w:val="center"/>
        <w:outlineLvl w:val="0"/>
        <w:rPr>
          <w:rFonts w:ascii="方正小标宋简体" w:hAnsi="宋体" w:eastAsia="方正小标宋简体"/>
          <w:color w:val="000000"/>
          <w:sz w:val="72"/>
          <w:szCs w:val="72"/>
        </w:rPr>
      </w:pPr>
      <w:bookmarkStart w:id="5" w:name="_Toc15377194"/>
      <w:bookmarkStart w:id="6" w:name="_Toc15377426"/>
      <w:bookmarkStart w:id="7" w:name="_Toc15306268"/>
      <w:bookmarkStart w:id="8" w:name="_Toc15396598"/>
      <w:bookmarkStart w:id="9" w:name="_Toc15396476"/>
      <w:bookmarkStart w:id="10" w:name="_Toc15378442"/>
      <w:r>
        <w:rPr>
          <w:rFonts w:hint="eastAsia" w:ascii="方正小标宋简体" w:hAnsi="宋体" w:eastAsia="方正小标宋简体"/>
          <w:color w:val="000000"/>
          <w:sz w:val="72"/>
          <w:szCs w:val="72"/>
        </w:rPr>
        <w:t>岳池县社会救助福利中心</w:t>
      </w:r>
      <w:r>
        <w:rPr>
          <w:rFonts w:hint="eastAsia" w:ascii="方正小标宋简体" w:hAnsi="宋体" w:eastAsia="方正小标宋简体"/>
          <w:color w:val="000000"/>
          <w:sz w:val="72"/>
          <w:szCs w:val="72"/>
          <w:lang w:eastAsia="zh-CN"/>
        </w:rPr>
        <w:t>部门</w:t>
      </w:r>
      <w:r>
        <w:rPr>
          <w:rFonts w:hint="eastAsia" w:ascii="方正小标宋简体" w:hAnsi="宋体" w:eastAsia="方正小标宋简体"/>
          <w:color w:val="000000"/>
          <w:sz w:val="72"/>
          <w:szCs w:val="72"/>
        </w:rPr>
        <w:t>决算</w:t>
      </w:r>
      <w:bookmarkEnd w:id="5"/>
      <w:bookmarkEnd w:id="6"/>
      <w:bookmarkEnd w:id="7"/>
      <w:bookmarkEnd w:id="8"/>
      <w:bookmarkEnd w:id="9"/>
      <w:bookmarkEnd w:id="10"/>
      <w:r>
        <w:rPr>
          <w:rFonts w:hint="eastAsia" w:ascii="方正小标宋简体" w:hAnsi="宋体" w:eastAsia="方正小标宋简体"/>
          <w:color w:val="000000"/>
          <w:sz w:val="72"/>
          <w:szCs w:val="72"/>
        </w:rPr>
        <w:t>编制说明</w:t>
      </w:r>
    </w:p>
    <w:p w14:paraId="1B470EB3">
      <w:pPr>
        <w:adjustRightInd w:val="0"/>
        <w:snapToGrid w:val="0"/>
        <w:spacing w:line="360" w:lineRule="auto"/>
        <w:jc w:val="center"/>
        <w:outlineLvl w:val="0"/>
        <w:rPr>
          <w:rFonts w:ascii="方正小标宋简体" w:hAnsi="宋体" w:eastAsia="方正小标宋简体"/>
          <w:color w:val="000000"/>
          <w:sz w:val="52"/>
          <w:szCs w:val="52"/>
        </w:rPr>
      </w:pPr>
    </w:p>
    <w:p w14:paraId="32D3CFB5">
      <w:pPr>
        <w:adjustRightInd w:val="0"/>
        <w:snapToGrid w:val="0"/>
        <w:spacing w:line="360" w:lineRule="auto"/>
        <w:jc w:val="center"/>
        <w:outlineLvl w:val="0"/>
        <w:rPr>
          <w:rFonts w:ascii="方正小标宋简体" w:hAnsi="宋体" w:eastAsia="方正小标宋简体"/>
          <w:color w:val="000000"/>
          <w:sz w:val="52"/>
          <w:szCs w:val="52"/>
        </w:rPr>
      </w:pPr>
    </w:p>
    <w:p w14:paraId="3D4E218A">
      <w:pPr>
        <w:adjustRightInd w:val="0"/>
        <w:snapToGrid w:val="0"/>
        <w:spacing w:line="360" w:lineRule="auto"/>
        <w:jc w:val="center"/>
        <w:outlineLvl w:val="0"/>
        <w:rPr>
          <w:rFonts w:ascii="方正小标宋简体" w:hAnsi="宋体" w:eastAsia="方正小标宋简体"/>
          <w:color w:val="000000"/>
          <w:sz w:val="52"/>
          <w:szCs w:val="52"/>
        </w:rPr>
      </w:pPr>
    </w:p>
    <w:p w14:paraId="11DEA3FF">
      <w:pPr>
        <w:adjustRightInd w:val="0"/>
        <w:snapToGrid w:val="0"/>
        <w:spacing w:line="360" w:lineRule="auto"/>
        <w:jc w:val="center"/>
        <w:outlineLvl w:val="0"/>
        <w:rPr>
          <w:rFonts w:ascii="方正小标宋简体" w:hAnsi="宋体" w:eastAsia="方正小标宋简体"/>
          <w:color w:val="000000"/>
          <w:sz w:val="52"/>
          <w:szCs w:val="52"/>
        </w:rPr>
      </w:pPr>
    </w:p>
    <w:p w14:paraId="59E2FDFD">
      <w:pPr>
        <w:adjustRightInd w:val="0"/>
        <w:snapToGrid w:val="0"/>
        <w:spacing w:line="360" w:lineRule="auto"/>
        <w:jc w:val="center"/>
        <w:outlineLvl w:val="0"/>
        <w:rPr>
          <w:rFonts w:ascii="方正小标宋简体" w:hAnsi="宋体" w:eastAsia="方正小标宋简体"/>
          <w:color w:val="000000"/>
          <w:sz w:val="52"/>
          <w:szCs w:val="52"/>
        </w:rPr>
      </w:pPr>
    </w:p>
    <w:p w14:paraId="10F2ECAE">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14:paraId="03C52D59">
      <w:pPr>
        <w:widowControl/>
        <w:jc w:val="center"/>
        <w:rPr>
          <w:rFonts w:ascii="黑体" w:hAnsi="黑体" w:eastAsia="黑体"/>
          <w:sz w:val="28"/>
          <w:szCs w:val="28"/>
        </w:rPr>
      </w:pPr>
    </w:p>
    <w:p w14:paraId="7E5959FC">
      <w:pPr>
        <w:pStyle w:val="9"/>
      </w:pPr>
      <w:r>
        <w:rPr>
          <w:rFonts w:hint="eastAsia"/>
        </w:rPr>
        <w:t>公开时间：</w:t>
      </w:r>
      <w:r>
        <w:t>202</w:t>
      </w:r>
      <w:r>
        <w:rPr>
          <w:rFonts w:hint="eastAsia"/>
          <w:lang w:val="en-US" w:eastAsia="zh-CN"/>
        </w:rPr>
        <w:t>3</w:t>
      </w:r>
      <w:r>
        <w:rPr>
          <w:rFonts w:hint="eastAsia"/>
        </w:rPr>
        <w:t xml:space="preserve">年 </w:t>
      </w:r>
      <w:r>
        <w:rPr>
          <w:rFonts w:hint="eastAsia"/>
          <w:lang w:val="en-US" w:eastAsia="zh-CN"/>
        </w:rPr>
        <w:t>10</w:t>
      </w:r>
      <w:r>
        <w:rPr>
          <w:rFonts w:hint="eastAsia"/>
        </w:rPr>
        <w:t>月</w:t>
      </w:r>
      <w:r>
        <w:rPr>
          <w:rFonts w:hint="eastAsia"/>
          <w:lang w:val="en-US" w:eastAsia="zh-CN"/>
        </w:rPr>
        <w:t>16</w:t>
      </w:r>
      <w:r>
        <w:rPr>
          <w:rFonts w:hint="eastAsia"/>
        </w:rPr>
        <w:t>日</w:t>
      </w:r>
    </w:p>
    <w:p w14:paraId="7BC158A6"/>
    <w:p w14:paraId="085C4397">
      <w:pPr>
        <w:pStyle w:val="9"/>
        <w:adjustRightInd w:val="0"/>
        <w:snapToGrid w:val="0"/>
        <w:spacing w:before="0" w:line="440" w:lineRule="exact"/>
        <w:jc w:val="left"/>
        <w:rPr>
          <w:rFonts w:hint="eastAsia" w:ascii="宋体" w:hAnsi="宋体" w:eastAsia="宋体" w:cs="宋体"/>
          <w:sz w:val="24"/>
          <w:szCs w:val="24"/>
          <w:lang w:val="en-US" w:eastAsia="zh-CN"/>
        </w:rPr>
      </w:pPr>
      <w:r>
        <w:rPr>
          <w:rFonts w:hint="eastAsia" w:ascii="宋体" w:hAnsi="宋体" w:eastAsia="宋体" w:cs="宋体"/>
          <w:sz w:val="24"/>
        </w:rPr>
        <w:t>第一部分 部门概况</w:t>
      </w:r>
      <w:r>
        <w:rPr>
          <w:rFonts w:hint="eastAsia" w:ascii="宋体" w:hAnsi="宋体" w:eastAsia="宋体" w:cs="宋体"/>
          <w:sz w:val="24"/>
          <w:lang w:val="en-US" w:eastAsia="zh-CN"/>
        </w:rPr>
        <w:t xml:space="preserve"> …………………………………………………………</w:t>
      </w:r>
      <w:r>
        <w:rPr>
          <w:rFonts w:hint="eastAsia" w:ascii="宋体" w:hAnsi="宋体" w:eastAsia="宋体" w:cs="宋体"/>
          <w:sz w:val="24"/>
          <w:szCs w:val="24"/>
          <w:lang w:val="en-US" w:eastAsia="zh-CN"/>
        </w:rPr>
        <w:t>4</w:t>
      </w:r>
    </w:p>
    <w:p w14:paraId="4A4B508D">
      <w:pPr>
        <w:pStyle w:val="10"/>
        <w:adjustRightInd w:val="0"/>
        <w:snapToGrid w:val="0"/>
        <w:spacing w:line="440" w:lineRule="exact"/>
        <w:jc w:val="left"/>
        <w:rPr>
          <w:rFonts w:hint="default" w:ascii="仿宋" w:hAnsi="仿宋" w:eastAsia="宋体"/>
          <w:sz w:val="24"/>
          <w:lang w:val="en-US" w:eastAsia="zh-CN"/>
        </w:rPr>
      </w:pPr>
      <w:r>
        <w:rPr>
          <w:rFonts w:hint="eastAsia"/>
          <w:sz w:val="24"/>
        </w:rPr>
        <w:t>一、基本职能及主要工作</w:t>
      </w:r>
      <w:r>
        <w:rPr>
          <w:rFonts w:hint="eastAsia"/>
          <w:sz w:val="24"/>
          <w:lang w:eastAsia="zh-CN"/>
        </w:rPr>
        <w:t>……………………………………</w:t>
      </w:r>
      <w:r>
        <w:rPr>
          <w:rFonts w:hint="eastAsia" w:ascii="宋体" w:hAnsi="宋体" w:eastAsia="宋体" w:cs="宋体"/>
          <w:sz w:val="24"/>
          <w:lang w:val="en-US" w:eastAsia="zh-CN"/>
        </w:rPr>
        <w:t>…………</w:t>
      </w:r>
      <w:r>
        <w:rPr>
          <w:rFonts w:hint="eastAsia"/>
          <w:sz w:val="24"/>
          <w:lang w:val="en-US" w:eastAsia="zh-CN"/>
        </w:rPr>
        <w:t>4</w:t>
      </w:r>
    </w:p>
    <w:p w14:paraId="2B9F53DE">
      <w:pPr>
        <w:pStyle w:val="10"/>
        <w:adjustRightInd w:val="0"/>
        <w:snapToGrid w:val="0"/>
        <w:spacing w:line="440" w:lineRule="exact"/>
        <w:jc w:val="left"/>
        <w:rPr>
          <w:rFonts w:hint="default" w:ascii="仿宋" w:hAnsi="仿宋" w:eastAsia="宋体"/>
          <w:sz w:val="24"/>
          <w:lang w:val="en-US" w:eastAsia="zh-CN"/>
        </w:rPr>
      </w:pPr>
      <w:r>
        <w:rPr>
          <w:rFonts w:hint="eastAsia"/>
          <w:sz w:val="24"/>
        </w:rPr>
        <w:t>二、机构设置</w:t>
      </w:r>
      <w:r>
        <w:rPr>
          <w:rFonts w:hint="eastAsia"/>
          <w:sz w:val="24"/>
          <w:lang w:val="en-US" w:eastAsia="zh-CN"/>
        </w:rPr>
        <w:t>…………………………………………………</w:t>
      </w:r>
      <w:r>
        <w:rPr>
          <w:rFonts w:hint="eastAsia" w:ascii="宋体" w:hAnsi="宋体" w:eastAsia="宋体" w:cs="宋体"/>
          <w:sz w:val="24"/>
          <w:lang w:val="en-US" w:eastAsia="zh-CN"/>
        </w:rPr>
        <w:t>…………</w:t>
      </w:r>
      <w:r>
        <w:rPr>
          <w:rFonts w:hint="eastAsia"/>
          <w:sz w:val="24"/>
          <w:lang w:val="en-US" w:eastAsia="zh-CN"/>
        </w:rPr>
        <w:t>4</w:t>
      </w:r>
    </w:p>
    <w:p w14:paraId="29CA07AD">
      <w:pPr>
        <w:pStyle w:val="9"/>
        <w:adjustRightInd w:val="0"/>
        <w:snapToGrid w:val="0"/>
        <w:spacing w:before="0" w:line="440" w:lineRule="exact"/>
        <w:jc w:val="left"/>
        <w:rPr>
          <w:rFonts w:hint="eastAsia" w:ascii="宋体" w:hAnsi="宋体" w:eastAsia="宋体" w:cs="宋体"/>
          <w:sz w:val="24"/>
          <w:szCs w:val="24"/>
          <w:lang w:val="en-US" w:eastAsia="zh-CN"/>
        </w:rPr>
      </w:pPr>
      <w:r>
        <w:rPr>
          <w:rFonts w:hint="eastAsia" w:ascii="宋体" w:hAnsi="宋体" w:eastAsia="宋体" w:cs="宋体"/>
          <w:sz w:val="24"/>
        </w:rPr>
        <w:t>第二部分</w:t>
      </w:r>
      <w:r>
        <w:rPr>
          <w:rFonts w:hint="eastAsia" w:ascii="宋体" w:hAnsi="宋体" w:eastAsia="宋体" w:cs="宋体"/>
          <w:sz w:val="24"/>
          <w:lang w:val="en-US" w:eastAsia="zh-CN"/>
        </w:rPr>
        <w:t>2022年</w:t>
      </w:r>
      <w:r>
        <w:rPr>
          <w:rFonts w:hint="eastAsia" w:ascii="宋体" w:hAnsi="宋体" w:eastAsia="宋体" w:cs="宋体"/>
          <w:sz w:val="24"/>
        </w:rPr>
        <w:t>度部门决算情况说明</w:t>
      </w:r>
      <w:r>
        <w:rPr>
          <w:rFonts w:hint="eastAsia" w:ascii="宋体" w:hAnsi="宋体" w:eastAsia="宋体" w:cs="宋体"/>
          <w:sz w:val="24"/>
          <w:lang w:val="en-US" w:eastAsia="zh-CN"/>
        </w:rPr>
        <w:t>…………………………………… 5</w:t>
      </w:r>
    </w:p>
    <w:p w14:paraId="092759CD">
      <w:pPr>
        <w:pStyle w:val="10"/>
        <w:adjustRightInd w:val="0"/>
        <w:snapToGrid w:val="0"/>
        <w:spacing w:line="440" w:lineRule="exact"/>
        <w:jc w:val="left"/>
        <w:rPr>
          <w:rFonts w:hint="default" w:ascii="仿宋" w:hAnsi="仿宋" w:eastAsia="宋体"/>
          <w:sz w:val="24"/>
          <w:lang w:val="en-US" w:eastAsia="zh-CN"/>
        </w:rPr>
      </w:pPr>
      <w:r>
        <w:rPr>
          <w:rFonts w:hint="eastAsia"/>
          <w:sz w:val="24"/>
        </w:rPr>
        <w:t>一、收入支出决算总体情况说明</w:t>
      </w:r>
      <w:r>
        <w:rPr>
          <w:rFonts w:hint="eastAsia"/>
          <w:sz w:val="24"/>
          <w:lang w:val="en-US" w:eastAsia="zh-CN"/>
        </w:rPr>
        <w:t>……………………………</w:t>
      </w:r>
      <w:r>
        <w:rPr>
          <w:rFonts w:hint="eastAsia" w:ascii="宋体" w:hAnsi="宋体" w:eastAsia="宋体" w:cs="宋体"/>
          <w:sz w:val="24"/>
          <w:lang w:val="en-US" w:eastAsia="zh-CN"/>
        </w:rPr>
        <w:t>…………</w:t>
      </w:r>
      <w:r>
        <w:rPr>
          <w:rFonts w:hint="eastAsia"/>
          <w:sz w:val="24"/>
          <w:lang w:val="en-US" w:eastAsia="zh-CN"/>
        </w:rPr>
        <w:t>5</w:t>
      </w:r>
    </w:p>
    <w:p w14:paraId="4CAC5682">
      <w:pPr>
        <w:pStyle w:val="10"/>
        <w:adjustRightInd w:val="0"/>
        <w:snapToGrid w:val="0"/>
        <w:spacing w:line="440" w:lineRule="exact"/>
        <w:jc w:val="left"/>
        <w:rPr>
          <w:rFonts w:hint="default" w:ascii="仿宋" w:hAnsi="仿宋" w:eastAsia="宋体"/>
          <w:sz w:val="24"/>
          <w:lang w:val="en-US" w:eastAsia="zh-CN"/>
        </w:rPr>
      </w:pPr>
      <w:r>
        <w:rPr>
          <w:rFonts w:hint="eastAsia"/>
          <w:sz w:val="24"/>
        </w:rPr>
        <w:t>二、收入决算情况说明</w:t>
      </w:r>
      <w:r>
        <w:rPr>
          <w:rFonts w:hint="eastAsia"/>
          <w:sz w:val="24"/>
          <w:lang w:val="en-US" w:eastAsia="zh-CN"/>
        </w:rPr>
        <w:t>………………………………………</w:t>
      </w:r>
      <w:r>
        <w:rPr>
          <w:rFonts w:hint="eastAsia" w:ascii="宋体" w:hAnsi="宋体" w:eastAsia="宋体" w:cs="宋体"/>
          <w:sz w:val="24"/>
          <w:lang w:val="en-US" w:eastAsia="zh-CN"/>
        </w:rPr>
        <w:t>…………</w:t>
      </w:r>
      <w:r>
        <w:rPr>
          <w:rFonts w:hint="eastAsia"/>
          <w:sz w:val="24"/>
          <w:lang w:val="en-US" w:eastAsia="zh-CN"/>
        </w:rPr>
        <w:t>5</w:t>
      </w:r>
    </w:p>
    <w:p w14:paraId="12D1DA40">
      <w:pPr>
        <w:pStyle w:val="10"/>
        <w:adjustRightInd w:val="0"/>
        <w:snapToGrid w:val="0"/>
        <w:spacing w:line="440" w:lineRule="exact"/>
        <w:jc w:val="left"/>
        <w:rPr>
          <w:rFonts w:hint="default" w:ascii="仿宋" w:hAnsi="仿宋" w:eastAsia="宋体"/>
          <w:sz w:val="24"/>
          <w:lang w:val="en-US" w:eastAsia="zh-CN"/>
        </w:rPr>
      </w:pPr>
      <w:r>
        <w:rPr>
          <w:rFonts w:hint="eastAsia"/>
          <w:sz w:val="24"/>
        </w:rPr>
        <w:t>三、支出决算情况说明</w:t>
      </w:r>
      <w:r>
        <w:rPr>
          <w:rFonts w:hint="eastAsia"/>
          <w:sz w:val="24"/>
          <w:lang w:val="en-US" w:eastAsia="zh-CN"/>
        </w:rPr>
        <w:t>………………………………………</w:t>
      </w:r>
      <w:r>
        <w:rPr>
          <w:rFonts w:hint="eastAsia" w:ascii="宋体" w:hAnsi="宋体" w:eastAsia="宋体" w:cs="宋体"/>
          <w:sz w:val="24"/>
          <w:lang w:val="en-US" w:eastAsia="zh-CN"/>
        </w:rPr>
        <w:t>…………</w:t>
      </w:r>
      <w:r>
        <w:rPr>
          <w:rFonts w:hint="eastAsia"/>
          <w:sz w:val="24"/>
          <w:lang w:val="en-US" w:eastAsia="zh-CN"/>
        </w:rPr>
        <w:t>6</w:t>
      </w:r>
    </w:p>
    <w:p w14:paraId="148DF513">
      <w:pPr>
        <w:pStyle w:val="10"/>
        <w:adjustRightInd w:val="0"/>
        <w:snapToGrid w:val="0"/>
        <w:spacing w:line="440" w:lineRule="exact"/>
        <w:jc w:val="left"/>
        <w:rPr>
          <w:rFonts w:hint="default" w:ascii="仿宋" w:hAnsi="仿宋" w:eastAsia="宋体"/>
          <w:sz w:val="24"/>
          <w:lang w:val="en-US" w:eastAsia="zh-CN"/>
        </w:rPr>
      </w:pPr>
      <w:r>
        <w:rPr>
          <w:rFonts w:hint="eastAsia"/>
          <w:sz w:val="24"/>
        </w:rPr>
        <w:t>四、财政拨款收入支出决算总体情况说明</w:t>
      </w:r>
      <w:r>
        <w:rPr>
          <w:rFonts w:hint="eastAsia"/>
          <w:sz w:val="24"/>
          <w:lang w:val="en-US" w:eastAsia="zh-CN"/>
        </w:rPr>
        <w:t>…………………</w:t>
      </w:r>
      <w:r>
        <w:rPr>
          <w:rFonts w:hint="eastAsia" w:ascii="宋体" w:hAnsi="宋体" w:eastAsia="宋体" w:cs="宋体"/>
          <w:sz w:val="24"/>
          <w:lang w:val="en-US" w:eastAsia="zh-CN"/>
        </w:rPr>
        <w:t>…………</w:t>
      </w:r>
      <w:r>
        <w:rPr>
          <w:rFonts w:hint="eastAsia"/>
          <w:sz w:val="24"/>
          <w:lang w:val="en-US" w:eastAsia="zh-CN"/>
        </w:rPr>
        <w:t>7</w:t>
      </w:r>
    </w:p>
    <w:p w14:paraId="010F372B">
      <w:pPr>
        <w:pStyle w:val="10"/>
        <w:adjustRightInd w:val="0"/>
        <w:snapToGrid w:val="0"/>
        <w:spacing w:line="440" w:lineRule="exact"/>
        <w:jc w:val="left"/>
        <w:rPr>
          <w:rFonts w:hint="default"/>
          <w:sz w:val="24"/>
          <w:lang w:val="en-US" w:eastAsia="zh-CN"/>
        </w:rPr>
      </w:pPr>
      <w:r>
        <w:rPr>
          <w:rFonts w:hint="eastAsia"/>
          <w:sz w:val="24"/>
        </w:rPr>
        <w:t>五、一般公共预算财政拨款支出决算情况说明</w:t>
      </w:r>
      <w:r>
        <w:rPr>
          <w:rFonts w:hint="eastAsia"/>
          <w:sz w:val="24"/>
          <w:lang w:val="en-US" w:eastAsia="zh-CN"/>
        </w:rPr>
        <w:t>……………</w:t>
      </w:r>
      <w:r>
        <w:rPr>
          <w:rFonts w:hint="eastAsia" w:ascii="宋体" w:hAnsi="宋体" w:eastAsia="宋体" w:cs="宋体"/>
          <w:sz w:val="24"/>
          <w:lang w:val="en-US" w:eastAsia="zh-CN"/>
        </w:rPr>
        <w:t>…………</w:t>
      </w:r>
      <w:r>
        <w:rPr>
          <w:rFonts w:hint="eastAsia" w:ascii="宋体" w:hAnsi="宋体" w:cs="宋体"/>
          <w:sz w:val="24"/>
          <w:lang w:val="en-US" w:eastAsia="zh-CN"/>
        </w:rPr>
        <w:t>8</w:t>
      </w:r>
    </w:p>
    <w:p w14:paraId="1FDF429C">
      <w:pPr>
        <w:pStyle w:val="10"/>
        <w:adjustRightInd w:val="0"/>
        <w:snapToGrid w:val="0"/>
        <w:spacing w:line="440" w:lineRule="exact"/>
        <w:jc w:val="left"/>
        <w:rPr>
          <w:rFonts w:hint="eastAsia"/>
          <w:sz w:val="24"/>
          <w:lang w:val="en-US" w:eastAsia="zh-CN"/>
        </w:rPr>
      </w:pPr>
      <w:r>
        <w:rPr>
          <w:rFonts w:hint="eastAsia"/>
          <w:sz w:val="24"/>
          <w:lang w:val="en-US" w:eastAsia="zh-CN"/>
        </w:rPr>
        <w:t>六、一般</w:t>
      </w:r>
      <w:r>
        <w:rPr>
          <w:rFonts w:hint="eastAsia"/>
          <w:sz w:val="24"/>
        </w:rPr>
        <w:t>公共预算财政拨款基本支出决算情况说明</w:t>
      </w:r>
      <w:r>
        <w:rPr>
          <w:rFonts w:hint="eastAsia"/>
          <w:sz w:val="24"/>
          <w:lang w:val="en-US" w:eastAsia="zh-CN"/>
        </w:rPr>
        <w:t>………</w:t>
      </w:r>
      <w:r>
        <w:rPr>
          <w:rFonts w:hint="eastAsia" w:ascii="宋体" w:hAnsi="宋体" w:eastAsia="宋体" w:cs="宋体"/>
          <w:sz w:val="24"/>
          <w:lang w:val="en-US" w:eastAsia="zh-CN"/>
        </w:rPr>
        <w:t>…………</w:t>
      </w:r>
      <w:r>
        <w:rPr>
          <w:rFonts w:hint="eastAsia"/>
          <w:sz w:val="24"/>
          <w:lang w:val="en-US" w:eastAsia="zh-CN"/>
        </w:rPr>
        <w:t>10</w:t>
      </w:r>
    </w:p>
    <w:p w14:paraId="0C639BF5">
      <w:pPr>
        <w:pStyle w:val="10"/>
        <w:adjustRightInd w:val="0"/>
        <w:snapToGrid w:val="0"/>
        <w:spacing w:line="440" w:lineRule="exact"/>
        <w:jc w:val="left"/>
        <w:rPr>
          <w:rFonts w:hint="default"/>
          <w:color w:val="auto"/>
          <w:sz w:val="24"/>
          <w:lang w:val="en-US" w:eastAsia="zh-CN"/>
        </w:rPr>
      </w:pPr>
      <w:r>
        <w:rPr>
          <w:rFonts w:hint="eastAsia"/>
          <w:color w:val="auto"/>
          <w:sz w:val="24"/>
          <w:lang w:val="en-US" w:eastAsia="zh-CN"/>
        </w:rPr>
        <w:t>七、一般公共预算财政拨款项目支出决算情况说明………</w:t>
      </w:r>
      <w:r>
        <w:rPr>
          <w:rFonts w:hint="eastAsia" w:ascii="宋体" w:hAnsi="宋体" w:eastAsia="宋体" w:cs="宋体"/>
          <w:sz w:val="24"/>
          <w:lang w:val="en-US" w:eastAsia="zh-CN"/>
        </w:rPr>
        <w:t>…………</w:t>
      </w:r>
      <w:r>
        <w:rPr>
          <w:rFonts w:hint="eastAsia"/>
          <w:color w:val="auto"/>
          <w:sz w:val="24"/>
          <w:lang w:val="en-US" w:eastAsia="zh-CN"/>
        </w:rPr>
        <w:t>10</w:t>
      </w:r>
    </w:p>
    <w:p w14:paraId="2E784B8E">
      <w:pPr>
        <w:pStyle w:val="10"/>
        <w:adjustRightInd w:val="0"/>
        <w:snapToGrid w:val="0"/>
        <w:spacing w:line="440" w:lineRule="exact"/>
        <w:jc w:val="left"/>
        <w:rPr>
          <w:rFonts w:hint="default" w:ascii="仿宋" w:hAnsi="仿宋" w:eastAsia="宋体"/>
          <w:sz w:val="24"/>
          <w:lang w:val="en-US" w:eastAsia="zh-CN"/>
        </w:rPr>
      </w:pPr>
      <w:r>
        <w:rPr>
          <w:rFonts w:hint="eastAsia"/>
          <w:sz w:val="24"/>
          <w:lang w:eastAsia="zh-CN"/>
        </w:rPr>
        <w:t>八</w:t>
      </w:r>
      <w:r>
        <w:rPr>
          <w:rFonts w:hint="eastAsia"/>
          <w:sz w:val="24"/>
        </w:rPr>
        <w:t>、财政拨款</w:t>
      </w:r>
      <w:r>
        <w:rPr>
          <w:sz w:val="24"/>
        </w:rPr>
        <w:t>“</w:t>
      </w:r>
      <w:r>
        <w:rPr>
          <w:rFonts w:hint="eastAsia"/>
          <w:sz w:val="24"/>
        </w:rPr>
        <w:t>三公”经费支出决算情况说明</w:t>
      </w:r>
      <w:r>
        <w:rPr>
          <w:rFonts w:hint="eastAsia"/>
          <w:sz w:val="24"/>
          <w:lang w:val="en-US" w:eastAsia="zh-CN"/>
        </w:rPr>
        <w:t>……………</w:t>
      </w:r>
      <w:r>
        <w:rPr>
          <w:rFonts w:hint="eastAsia" w:ascii="宋体" w:hAnsi="宋体" w:eastAsia="宋体" w:cs="宋体"/>
          <w:sz w:val="24"/>
          <w:lang w:val="en-US" w:eastAsia="zh-CN"/>
        </w:rPr>
        <w:t>…………</w:t>
      </w:r>
      <w:r>
        <w:rPr>
          <w:rFonts w:hint="eastAsia"/>
          <w:sz w:val="24"/>
          <w:lang w:val="en-US" w:eastAsia="zh-CN"/>
        </w:rPr>
        <w:t>10</w:t>
      </w:r>
    </w:p>
    <w:p w14:paraId="08D78674">
      <w:pPr>
        <w:pStyle w:val="10"/>
        <w:adjustRightInd w:val="0"/>
        <w:snapToGrid w:val="0"/>
        <w:spacing w:line="440" w:lineRule="exact"/>
        <w:jc w:val="left"/>
        <w:rPr>
          <w:rFonts w:hint="default" w:ascii="仿宋" w:hAnsi="仿宋" w:eastAsia="宋体"/>
          <w:sz w:val="24"/>
          <w:lang w:val="en-US" w:eastAsia="zh-CN"/>
        </w:rPr>
      </w:pPr>
      <w:r>
        <w:rPr>
          <w:rFonts w:hint="eastAsia"/>
          <w:sz w:val="24"/>
          <w:lang w:eastAsia="zh-CN"/>
        </w:rPr>
        <w:t>九</w:t>
      </w:r>
      <w:r>
        <w:rPr>
          <w:rFonts w:hint="eastAsia"/>
          <w:sz w:val="24"/>
        </w:rPr>
        <w:t>、政府性基金预算支出决算情况说明</w:t>
      </w:r>
      <w:r>
        <w:rPr>
          <w:rFonts w:hint="eastAsia"/>
          <w:sz w:val="24"/>
          <w:lang w:val="en-US" w:eastAsia="zh-CN"/>
        </w:rPr>
        <w:t>……………………</w:t>
      </w:r>
      <w:r>
        <w:rPr>
          <w:rFonts w:hint="eastAsia" w:ascii="宋体" w:hAnsi="宋体" w:eastAsia="宋体" w:cs="宋体"/>
          <w:sz w:val="24"/>
          <w:lang w:val="en-US" w:eastAsia="zh-CN"/>
        </w:rPr>
        <w:t>…………</w:t>
      </w:r>
      <w:r>
        <w:rPr>
          <w:rFonts w:hint="eastAsia"/>
          <w:sz w:val="24"/>
          <w:lang w:val="en-US" w:eastAsia="zh-CN"/>
        </w:rPr>
        <w:t>12</w:t>
      </w:r>
    </w:p>
    <w:p w14:paraId="738FA29D">
      <w:pPr>
        <w:pStyle w:val="10"/>
        <w:adjustRightInd w:val="0"/>
        <w:snapToGrid w:val="0"/>
        <w:spacing w:line="440" w:lineRule="exact"/>
        <w:jc w:val="left"/>
        <w:rPr>
          <w:rFonts w:hint="default"/>
          <w:sz w:val="24"/>
          <w:lang w:val="en-US" w:eastAsia="zh-CN"/>
        </w:rPr>
      </w:pPr>
      <w:r>
        <w:rPr>
          <w:rFonts w:hint="eastAsia"/>
          <w:sz w:val="24"/>
          <w:lang w:eastAsia="zh-CN"/>
        </w:rPr>
        <w:t>十、 国有资本经营预算支出决算情况说明</w:t>
      </w:r>
      <w:r>
        <w:rPr>
          <w:rFonts w:hint="eastAsia"/>
          <w:sz w:val="24"/>
          <w:lang w:val="en-US" w:eastAsia="zh-CN"/>
        </w:rPr>
        <w:t>………………</w:t>
      </w:r>
      <w:r>
        <w:rPr>
          <w:rFonts w:hint="eastAsia" w:ascii="宋体" w:hAnsi="宋体" w:eastAsia="宋体" w:cs="宋体"/>
          <w:sz w:val="24"/>
          <w:lang w:val="en-US" w:eastAsia="zh-CN"/>
        </w:rPr>
        <w:t>…………</w:t>
      </w:r>
      <w:r>
        <w:rPr>
          <w:rFonts w:hint="eastAsia"/>
          <w:sz w:val="24"/>
          <w:lang w:val="en-US" w:eastAsia="zh-CN"/>
        </w:rPr>
        <w:t>12</w:t>
      </w:r>
    </w:p>
    <w:p w14:paraId="45BD4992">
      <w:pPr>
        <w:pStyle w:val="10"/>
        <w:adjustRightInd w:val="0"/>
        <w:snapToGrid w:val="0"/>
        <w:spacing w:line="440" w:lineRule="exact"/>
        <w:jc w:val="left"/>
        <w:rPr>
          <w:rFonts w:hint="eastAsia"/>
          <w:sz w:val="24"/>
          <w:lang w:val="en-US" w:eastAsia="zh-CN"/>
        </w:rPr>
      </w:pPr>
      <w:r>
        <w:rPr>
          <w:rFonts w:hint="eastAsia"/>
          <w:sz w:val="24"/>
          <w:lang w:eastAsia="zh-CN"/>
        </w:rPr>
        <w:t>十一、其他重要事项的情况说明</w:t>
      </w:r>
      <w:r>
        <w:rPr>
          <w:rFonts w:hint="eastAsia"/>
          <w:sz w:val="24"/>
          <w:lang w:val="en-US" w:eastAsia="zh-CN"/>
        </w:rPr>
        <w:t>……………………………</w:t>
      </w:r>
      <w:r>
        <w:rPr>
          <w:rFonts w:hint="eastAsia" w:ascii="宋体" w:hAnsi="宋体" w:eastAsia="宋体" w:cs="宋体"/>
          <w:sz w:val="24"/>
          <w:lang w:val="en-US" w:eastAsia="zh-CN"/>
        </w:rPr>
        <w:t>…………</w:t>
      </w:r>
      <w:r>
        <w:rPr>
          <w:rFonts w:hint="eastAsia"/>
          <w:sz w:val="24"/>
          <w:lang w:val="en-US" w:eastAsia="zh-CN"/>
        </w:rPr>
        <w:t>12</w:t>
      </w:r>
    </w:p>
    <w:p w14:paraId="2CC100F3">
      <w:pPr>
        <w:pStyle w:val="9"/>
        <w:adjustRightInd w:val="0"/>
        <w:snapToGrid w:val="0"/>
        <w:spacing w:before="0" w:line="440" w:lineRule="exact"/>
        <w:jc w:val="left"/>
        <w:rPr>
          <w:rFonts w:hint="default" w:ascii="宋体" w:hAnsi="宋体" w:eastAsia="宋体" w:cs="宋体"/>
          <w:sz w:val="24"/>
          <w:szCs w:val="24"/>
          <w:lang w:val="en-US" w:eastAsia="zh-CN"/>
        </w:rPr>
      </w:pPr>
      <w:r>
        <w:rPr>
          <w:rFonts w:hint="eastAsia" w:ascii="宋体" w:hAnsi="宋体" w:eastAsia="宋体" w:cs="宋体"/>
          <w:sz w:val="24"/>
        </w:rPr>
        <w:t>第三部分 名词解释</w:t>
      </w:r>
      <w:r>
        <w:rPr>
          <w:rFonts w:hint="eastAsia" w:ascii="宋体" w:hAnsi="宋体" w:eastAsia="宋体" w:cs="宋体"/>
          <w:sz w:val="24"/>
          <w:lang w:val="en-US" w:eastAsia="zh-CN"/>
        </w:rPr>
        <w:t>…………………………………………………………14</w:t>
      </w:r>
    </w:p>
    <w:p w14:paraId="153B8354">
      <w:pPr>
        <w:pStyle w:val="9"/>
        <w:adjustRightInd w:val="0"/>
        <w:snapToGrid w:val="0"/>
        <w:spacing w:before="0" w:line="440" w:lineRule="exact"/>
        <w:jc w:val="left"/>
        <w:rPr>
          <w:rFonts w:hint="default" w:ascii="宋体" w:hAnsi="宋体" w:eastAsia="宋体" w:cs="宋体"/>
          <w:sz w:val="24"/>
          <w:szCs w:val="24"/>
          <w:lang w:val="en-US" w:eastAsia="zh-CN"/>
        </w:rPr>
      </w:pPr>
      <w:r>
        <w:rPr>
          <w:rFonts w:hint="eastAsia" w:ascii="宋体" w:hAnsi="宋体" w:eastAsia="宋体" w:cs="宋体"/>
          <w:sz w:val="24"/>
        </w:rPr>
        <w:t>第四部分 附件</w:t>
      </w:r>
      <w:r>
        <w:rPr>
          <w:rFonts w:hint="eastAsia" w:ascii="宋体" w:hAnsi="宋体" w:eastAsia="宋体" w:cs="宋体"/>
          <w:sz w:val="24"/>
          <w:lang w:val="en-US" w:eastAsia="zh-CN"/>
        </w:rPr>
        <w:t>………………………………………………………………17</w:t>
      </w:r>
    </w:p>
    <w:p w14:paraId="180B1161">
      <w:pPr>
        <w:pStyle w:val="9"/>
        <w:adjustRightInd w:val="0"/>
        <w:snapToGrid w:val="0"/>
        <w:spacing w:before="0" w:line="440" w:lineRule="exact"/>
        <w:jc w:val="left"/>
        <w:rPr>
          <w:rFonts w:hint="default" w:ascii="宋体" w:hAnsi="宋体" w:eastAsia="宋体" w:cs="宋体"/>
          <w:sz w:val="24"/>
          <w:szCs w:val="24"/>
          <w:lang w:val="en-US" w:eastAsia="zh-CN"/>
        </w:rPr>
      </w:pPr>
      <w:r>
        <w:rPr>
          <w:rFonts w:hint="eastAsia" w:ascii="宋体" w:hAnsi="宋体" w:eastAsia="宋体" w:cs="宋体"/>
          <w:sz w:val="24"/>
        </w:rPr>
        <w:t>第五部分 附表</w:t>
      </w:r>
      <w:r>
        <w:rPr>
          <w:rFonts w:hint="eastAsia" w:ascii="宋体" w:hAnsi="宋体" w:eastAsia="宋体" w:cs="宋体"/>
          <w:sz w:val="24"/>
          <w:lang w:val="en-US" w:eastAsia="zh-CN"/>
        </w:rPr>
        <w:t>………………………………………………………………52</w:t>
      </w:r>
    </w:p>
    <w:p w14:paraId="5D6630A3">
      <w:pPr>
        <w:pStyle w:val="10"/>
        <w:adjustRightInd w:val="0"/>
        <w:snapToGrid w:val="0"/>
        <w:spacing w:line="440" w:lineRule="exact"/>
        <w:jc w:val="left"/>
        <w:rPr>
          <w:rFonts w:hint="eastAsia" w:ascii="宋体" w:hAnsi="宋体" w:eastAsia="宋体" w:cs="宋体"/>
          <w:sz w:val="24"/>
        </w:rPr>
      </w:pPr>
      <w:r>
        <w:rPr>
          <w:rFonts w:hint="eastAsia" w:ascii="宋体" w:hAnsi="宋体" w:eastAsia="宋体" w:cs="宋体"/>
          <w:sz w:val="24"/>
        </w:rPr>
        <w:t>一、收入支出决算总表</w:t>
      </w:r>
      <w:r>
        <w:rPr>
          <w:rFonts w:hint="eastAsia" w:ascii="宋体" w:hAnsi="宋体" w:eastAsia="宋体" w:cs="宋体"/>
          <w:sz w:val="24"/>
          <w:lang w:val="en-US" w:eastAsia="zh-CN"/>
        </w:rPr>
        <w:t>…………………………………………………5</w:t>
      </w:r>
      <w:r>
        <w:rPr>
          <w:rFonts w:hint="eastAsia" w:ascii="宋体" w:hAnsi="宋体" w:cs="宋体"/>
          <w:sz w:val="24"/>
          <w:lang w:val="en-US" w:eastAsia="zh-CN"/>
        </w:rPr>
        <w:t>2</w:t>
      </w:r>
    </w:p>
    <w:p w14:paraId="64E75441">
      <w:pPr>
        <w:pStyle w:val="10"/>
        <w:adjustRightInd w:val="0"/>
        <w:snapToGrid w:val="0"/>
        <w:spacing w:line="440" w:lineRule="exact"/>
        <w:jc w:val="left"/>
        <w:rPr>
          <w:rFonts w:ascii="仿宋" w:hAnsi="仿宋" w:eastAsia="仿宋"/>
          <w:sz w:val="24"/>
        </w:rPr>
      </w:pPr>
      <w:r>
        <w:rPr>
          <w:rFonts w:hint="eastAsia" w:ascii="宋体" w:hAnsi="宋体" w:eastAsia="宋体" w:cs="宋体"/>
          <w:sz w:val="24"/>
        </w:rPr>
        <w:t>二、收入决算表</w:t>
      </w:r>
      <w:r>
        <w:rPr>
          <w:rFonts w:hint="eastAsia" w:ascii="宋体" w:hAnsi="宋体" w:eastAsia="宋体" w:cs="宋体"/>
          <w:sz w:val="24"/>
          <w:lang w:val="en-US" w:eastAsia="zh-CN"/>
        </w:rPr>
        <w:t>…………………………………………………………5</w:t>
      </w:r>
      <w:r>
        <w:rPr>
          <w:rFonts w:hint="eastAsia" w:ascii="宋体" w:hAnsi="宋体" w:cs="宋体"/>
          <w:sz w:val="24"/>
          <w:lang w:val="en-US" w:eastAsia="zh-CN"/>
        </w:rPr>
        <w:t>2</w:t>
      </w:r>
    </w:p>
    <w:p w14:paraId="55E94DA7">
      <w:pPr>
        <w:pStyle w:val="10"/>
        <w:adjustRightInd w:val="0"/>
        <w:snapToGrid w:val="0"/>
        <w:spacing w:line="440" w:lineRule="exact"/>
        <w:jc w:val="left"/>
        <w:rPr>
          <w:rFonts w:hint="eastAsia" w:ascii="宋体" w:hAnsi="宋体" w:eastAsia="宋体" w:cs="宋体"/>
          <w:sz w:val="24"/>
        </w:rPr>
      </w:pPr>
      <w:r>
        <w:rPr>
          <w:rFonts w:hint="eastAsia" w:ascii="宋体" w:hAnsi="宋体" w:eastAsia="宋体" w:cs="宋体"/>
          <w:sz w:val="24"/>
        </w:rPr>
        <w:t>三、支出决算表</w:t>
      </w:r>
      <w:r>
        <w:rPr>
          <w:rFonts w:hint="eastAsia" w:ascii="宋体" w:hAnsi="宋体" w:eastAsia="宋体" w:cs="宋体"/>
          <w:sz w:val="24"/>
          <w:lang w:val="en-US" w:eastAsia="zh-CN"/>
        </w:rPr>
        <w:t>…………………………………………………………5</w:t>
      </w:r>
      <w:r>
        <w:rPr>
          <w:rFonts w:hint="eastAsia" w:ascii="宋体" w:hAnsi="宋体" w:cs="宋体"/>
          <w:sz w:val="24"/>
          <w:lang w:val="en-US" w:eastAsia="zh-CN"/>
        </w:rPr>
        <w:t>2</w:t>
      </w:r>
    </w:p>
    <w:p w14:paraId="78C5C17C">
      <w:pPr>
        <w:pStyle w:val="10"/>
        <w:adjustRightInd w:val="0"/>
        <w:snapToGrid w:val="0"/>
        <w:spacing w:line="440" w:lineRule="exact"/>
        <w:jc w:val="left"/>
        <w:rPr>
          <w:rFonts w:ascii="仿宋" w:hAnsi="仿宋" w:eastAsia="仿宋"/>
          <w:sz w:val="24"/>
        </w:rPr>
      </w:pPr>
      <w:r>
        <w:rPr>
          <w:rFonts w:hint="eastAsia" w:ascii="宋体" w:hAnsi="宋体" w:eastAsia="宋体" w:cs="宋体"/>
          <w:sz w:val="24"/>
        </w:rPr>
        <w:t>四、</w:t>
      </w:r>
      <w:r>
        <w:rPr>
          <w:rFonts w:hint="eastAsia"/>
          <w:sz w:val="24"/>
        </w:rPr>
        <w:t>财政拨款收入支出决算总表</w:t>
      </w:r>
      <w:r>
        <w:rPr>
          <w:rFonts w:hint="eastAsia" w:ascii="宋体" w:hAnsi="宋体" w:eastAsia="宋体" w:cs="宋体"/>
          <w:sz w:val="24"/>
          <w:lang w:val="en-US" w:eastAsia="zh-CN"/>
        </w:rPr>
        <w:t>………………………………………5</w:t>
      </w:r>
      <w:r>
        <w:rPr>
          <w:rFonts w:hint="eastAsia" w:ascii="宋体" w:hAnsi="宋体" w:cs="宋体"/>
          <w:sz w:val="24"/>
          <w:lang w:val="en-US" w:eastAsia="zh-CN"/>
        </w:rPr>
        <w:t>2</w:t>
      </w:r>
    </w:p>
    <w:p w14:paraId="567912A1">
      <w:pPr>
        <w:pStyle w:val="10"/>
        <w:adjustRightInd w:val="0"/>
        <w:snapToGrid w:val="0"/>
        <w:spacing w:line="440" w:lineRule="exact"/>
        <w:jc w:val="left"/>
        <w:rPr>
          <w:rFonts w:hint="eastAsia" w:ascii="宋体" w:hAnsi="宋体" w:cs="宋体"/>
          <w:sz w:val="24"/>
          <w:lang w:val="en-US" w:eastAsia="zh-CN"/>
        </w:rPr>
      </w:pPr>
      <w:r>
        <w:rPr>
          <w:rFonts w:hint="eastAsia" w:ascii="宋体" w:hAnsi="宋体" w:eastAsia="宋体" w:cs="宋体"/>
          <w:sz w:val="24"/>
        </w:rPr>
        <w:t>五、财政拨款支出决算明细表</w:t>
      </w:r>
      <w:r>
        <w:rPr>
          <w:rFonts w:hint="eastAsia" w:ascii="宋体" w:hAnsi="宋体" w:eastAsia="宋体" w:cs="宋体"/>
          <w:sz w:val="24"/>
          <w:lang w:val="en-US" w:eastAsia="zh-CN"/>
        </w:rPr>
        <w:t>…………………………………………5</w:t>
      </w:r>
      <w:r>
        <w:rPr>
          <w:rFonts w:hint="eastAsia" w:ascii="宋体" w:hAnsi="宋体" w:cs="宋体"/>
          <w:sz w:val="24"/>
          <w:lang w:val="en-US" w:eastAsia="zh-CN"/>
        </w:rPr>
        <w:t>2</w:t>
      </w:r>
    </w:p>
    <w:p w14:paraId="47949073">
      <w:pPr>
        <w:pStyle w:val="10"/>
        <w:adjustRightInd w:val="0"/>
        <w:snapToGrid w:val="0"/>
        <w:spacing w:line="440" w:lineRule="exact"/>
        <w:jc w:val="left"/>
        <w:rPr>
          <w:rFonts w:ascii="仿宋" w:hAnsi="仿宋" w:eastAsia="仿宋"/>
          <w:sz w:val="24"/>
        </w:rPr>
      </w:pPr>
      <w:r>
        <w:rPr>
          <w:rFonts w:hint="eastAsia" w:ascii="宋体" w:hAnsi="宋体" w:eastAsia="宋体" w:cs="宋体"/>
          <w:sz w:val="24"/>
        </w:rPr>
        <w:t>六、</w:t>
      </w:r>
      <w:r>
        <w:rPr>
          <w:rFonts w:hint="eastAsia"/>
          <w:sz w:val="24"/>
        </w:rPr>
        <w:t>一般公共预算财政拨款支出决算表</w:t>
      </w:r>
      <w:r>
        <w:rPr>
          <w:rFonts w:hint="eastAsia" w:ascii="宋体" w:hAnsi="宋体" w:eastAsia="宋体" w:cs="宋体"/>
          <w:sz w:val="24"/>
          <w:lang w:val="en-US" w:eastAsia="zh-CN"/>
        </w:rPr>
        <w:t>………………………………5</w:t>
      </w:r>
      <w:r>
        <w:rPr>
          <w:rFonts w:hint="eastAsia" w:ascii="宋体" w:hAnsi="宋体" w:cs="宋体"/>
          <w:sz w:val="24"/>
          <w:lang w:val="en-US" w:eastAsia="zh-CN"/>
        </w:rPr>
        <w:t>2</w:t>
      </w:r>
    </w:p>
    <w:p w14:paraId="0E00C59A">
      <w:pPr>
        <w:pStyle w:val="10"/>
        <w:adjustRightInd w:val="0"/>
        <w:snapToGrid w:val="0"/>
        <w:spacing w:line="440" w:lineRule="exact"/>
        <w:jc w:val="left"/>
        <w:rPr>
          <w:rFonts w:hint="default" w:ascii="仿宋" w:hAnsi="仿宋" w:eastAsia="仿宋"/>
          <w:sz w:val="24"/>
          <w:lang w:val="en-US"/>
        </w:rPr>
      </w:pPr>
      <w:r>
        <w:rPr>
          <w:rFonts w:hint="eastAsia" w:ascii="宋体" w:hAnsi="宋体" w:eastAsia="宋体" w:cs="宋体"/>
          <w:sz w:val="24"/>
        </w:rPr>
        <w:t>七</w:t>
      </w:r>
      <w:r>
        <w:rPr>
          <w:rFonts w:hint="eastAsia" w:ascii="仿宋" w:hAnsi="仿宋" w:eastAsia="仿宋"/>
          <w:sz w:val="24"/>
        </w:rPr>
        <w:t>、</w:t>
      </w:r>
      <w:r>
        <w:rPr>
          <w:rFonts w:hint="eastAsia"/>
          <w:sz w:val="24"/>
        </w:rPr>
        <w:t>一般公共预算财政拨款支出决算明细表</w:t>
      </w:r>
      <w:r>
        <w:rPr>
          <w:rFonts w:hint="eastAsia" w:ascii="宋体" w:hAnsi="宋体" w:eastAsia="宋体" w:cs="宋体"/>
          <w:sz w:val="24"/>
          <w:lang w:val="en-US" w:eastAsia="zh-CN"/>
        </w:rPr>
        <w:t>…………………………</w:t>
      </w:r>
      <w:r>
        <w:rPr>
          <w:rFonts w:hint="eastAsia" w:ascii="宋体" w:hAnsi="宋体" w:cs="宋体"/>
          <w:sz w:val="24"/>
          <w:lang w:val="en-US" w:eastAsia="zh-CN"/>
        </w:rPr>
        <w:t>52</w:t>
      </w:r>
    </w:p>
    <w:p w14:paraId="3DCA7BDD">
      <w:pPr>
        <w:pStyle w:val="10"/>
        <w:adjustRightInd w:val="0"/>
        <w:snapToGrid w:val="0"/>
        <w:spacing w:line="440" w:lineRule="exact"/>
        <w:jc w:val="left"/>
        <w:rPr>
          <w:rFonts w:hint="default" w:ascii="仿宋" w:hAnsi="仿宋" w:eastAsia="仿宋"/>
          <w:sz w:val="24"/>
          <w:lang w:val="en-US"/>
        </w:rPr>
      </w:pPr>
      <w:r>
        <w:rPr>
          <w:rFonts w:hint="eastAsia" w:ascii="宋体" w:hAnsi="宋体" w:eastAsia="宋体" w:cs="宋体"/>
          <w:sz w:val="24"/>
        </w:rPr>
        <w:t>八、</w:t>
      </w:r>
      <w:r>
        <w:rPr>
          <w:rFonts w:hint="eastAsia"/>
          <w:sz w:val="24"/>
        </w:rPr>
        <w:t>一般公共预算财政拨款基本支出决算表</w:t>
      </w:r>
      <w:r>
        <w:rPr>
          <w:rFonts w:hint="eastAsia" w:ascii="宋体" w:hAnsi="宋体" w:eastAsia="宋体" w:cs="宋体"/>
          <w:sz w:val="24"/>
          <w:lang w:val="en-US" w:eastAsia="zh-CN"/>
        </w:rPr>
        <w:t>…………………………</w:t>
      </w:r>
      <w:r>
        <w:rPr>
          <w:rFonts w:hint="eastAsia" w:ascii="宋体" w:hAnsi="宋体" w:cs="宋体"/>
          <w:sz w:val="24"/>
          <w:lang w:val="en-US" w:eastAsia="zh-CN"/>
        </w:rPr>
        <w:t>52</w:t>
      </w:r>
    </w:p>
    <w:p w14:paraId="781426FD">
      <w:pPr>
        <w:pStyle w:val="10"/>
        <w:adjustRightInd w:val="0"/>
        <w:snapToGrid w:val="0"/>
        <w:spacing w:line="440" w:lineRule="exact"/>
        <w:jc w:val="left"/>
        <w:rPr>
          <w:rFonts w:hint="default" w:ascii="仿宋" w:hAnsi="仿宋" w:eastAsia="仿宋"/>
          <w:sz w:val="24"/>
          <w:lang w:val="en-US"/>
        </w:rPr>
      </w:pPr>
      <w:r>
        <w:rPr>
          <w:rFonts w:hint="eastAsia" w:ascii="宋体" w:hAnsi="宋体" w:eastAsia="宋体" w:cs="宋体"/>
          <w:sz w:val="24"/>
        </w:rPr>
        <w:t>九</w:t>
      </w:r>
      <w:r>
        <w:rPr>
          <w:rFonts w:hint="eastAsia" w:ascii="仿宋" w:hAnsi="仿宋" w:eastAsia="仿宋"/>
          <w:sz w:val="24"/>
        </w:rPr>
        <w:t>、</w:t>
      </w:r>
      <w:r>
        <w:rPr>
          <w:rFonts w:hint="eastAsia"/>
          <w:sz w:val="24"/>
        </w:rPr>
        <w:t>一般公共预算财政拨款项目支出决算表</w:t>
      </w:r>
      <w:r>
        <w:rPr>
          <w:rFonts w:hint="eastAsia" w:ascii="宋体" w:hAnsi="宋体" w:eastAsia="宋体" w:cs="宋体"/>
          <w:sz w:val="24"/>
          <w:lang w:val="en-US" w:eastAsia="zh-CN"/>
        </w:rPr>
        <w:t>…………………………</w:t>
      </w:r>
      <w:r>
        <w:rPr>
          <w:rFonts w:hint="eastAsia" w:ascii="宋体" w:hAnsi="宋体" w:cs="宋体"/>
          <w:sz w:val="24"/>
          <w:lang w:val="en-US" w:eastAsia="zh-CN"/>
        </w:rPr>
        <w:t>52</w:t>
      </w:r>
    </w:p>
    <w:p w14:paraId="571EFD50">
      <w:pPr>
        <w:pStyle w:val="10"/>
        <w:adjustRightInd w:val="0"/>
        <w:snapToGrid w:val="0"/>
        <w:spacing w:line="440" w:lineRule="exact"/>
        <w:jc w:val="left"/>
        <w:rPr>
          <w:rFonts w:hint="default" w:ascii="仿宋" w:hAnsi="仿宋" w:eastAsia="仿宋"/>
          <w:sz w:val="24"/>
          <w:lang w:val="en-US"/>
        </w:rPr>
      </w:pPr>
      <w:r>
        <w:rPr>
          <w:rFonts w:hint="eastAsia" w:ascii="宋体" w:hAnsi="宋体" w:eastAsia="宋体" w:cs="宋体"/>
          <w:sz w:val="24"/>
        </w:rPr>
        <w:t>十</w:t>
      </w:r>
      <w:r>
        <w:rPr>
          <w:rFonts w:hint="eastAsia" w:ascii="仿宋" w:hAnsi="仿宋" w:eastAsia="仿宋"/>
          <w:sz w:val="24"/>
        </w:rPr>
        <w:t>、</w:t>
      </w:r>
      <w:r>
        <w:rPr>
          <w:rFonts w:hint="eastAsia"/>
          <w:sz w:val="24"/>
        </w:rPr>
        <w:t>政府性基金预算财政拨款收入支出决算表</w:t>
      </w:r>
      <w:r>
        <w:rPr>
          <w:rFonts w:hint="eastAsia" w:ascii="宋体" w:hAnsi="宋体" w:eastAsia="宋体" w:cs="宋体"/>
          <w:sz w:val="24"/>
          <w:lang w:val="en-US" w:eastAsia="zh-CN"/>
        </w:rPr>
        <w:t>………………………</w:t>
      </w:r>
      <w:r>
        <w:rPr>
          <w:rFonts w:hint="eastAsia" w:ascii="宋体" w:hAnsi="宋体" w:cs="宋体"/>
          <w:sz w:val="24"/>
          <w:lang w:val="en-US" w:eastAsia="zh-CN"/>
        </w:rPr>
        <w:t>52</w:t>
      </w:r>
    </w:p>
    <w:p w14:paraId="38C4DF86">
      <w:pPr>
        <w:pStyle w:val="10"/>
        <w:adjustRightInd w:val="0"/>
        <w:snapToGrid w:val="0"/>
        <w:spacing w:line="440" w:lineRule="exact"/>
        <w:jc w:val="left"/>
        <w:rPr>
          <w:rFonts w:hint="eastAsia" w:ascii="宋体" w:hAnsi="宋体" w:cs="宋体"/>
          <w:sz w:val="24"/>
          <w:lang w:val="en-US" w:eastAsia="zh-CN"/>
        </w:rPr>
      </w:pPr>
      <w:r>
        <w:rPr>
          <w:rFonts w:hint="eastAsia" w:ascii="仿宋" w:hAnsi="仿宋" w:eastAsia="仿宋" w:cs="仿宋"/>
          <w:sz w:val="24"/>
        </w:rPr>
        <w:t>十</w:t>
      </w:r>
      <w:r>
        <w:rPr>
          <w:rFonts w:hint="eastAsia" w:ascii="仿宋" w:hAnsi="仿宋" w:eastAsia="仿宋" w:cs="仿宋"/>
          <w:sz w:val="24"/>
          <w:lang w:eastAsia="zh-CN"/>
        </w:rPr>
        <w:t>一</w:t>
      </w:r>
      <w:r>
        <w:rPr>
          <w:rFonts w:hint="eastAsia" w:ascii="仿宋" w:hAnsi="仿宋" w:eastAsia="仿宋"/>
          <w:sz w:val="24"/>
        </w:rPr>
        <w:t>、</w:t>
      </w:r>
      <w:r>
        <w:rPr>
          <w:rFonts w:hint="eastAsia" w:ascii="宋体" w:hAnsi="宋体" w:eastAsia="宋体" w:cs="宋体"/>
          <w:sz w:val="24"/>
        </w:rPr>
        <w:t>国有资本经营预算财政拨款收入支出决算表</w:t>
      </w:r>
      <w:r>
        <w:rPr>
          <w:rFonts w:hint="eastAsia" w:ascii="宋体" w:hAnsi="宋体" w:eastAsia="宋体" w:cs="宋体"/>
          <w:sz w:val="24"/>
          <w:lang w:val="en-US" w:eastAsia="zh-CN"/>
        </w:rPr>
        <w:t>…………………</w:t>
      </w:r>
      <w:r>
        <w:rPr>
          <w:rFonts w:hint="eastAsia" w:ascii="宋体" w:hAnsi="宋体" w:cs="宋体"/>
          <w:sz w:val="24"/>
          <w:lang w:val="en-US" w:eastAsia="zh-CN"/>
        </w:rPr>
        <w:t>52</w:t>
      </w:r>
    </w:p>
    <w:p w14:paraId="1DEFBEBE">
      <w:pPr>
        <w:pStyle w:val="10"/>
        <w:adjustRightInd w:val="0"/>
        <w:snapToGrid w:val="0"/>
        <w:spacing w:line="440" w:lineRule="exact"/>
        <w:jc w:val="left"/>
        <w:rPr>
          <w:rFonts w:hint="eastAsia" w:ascii="宋体" w:hAnsi="宋体" w:cs="宋体"/>
          <w:sz w:val="24"/>
          <w:lang w:val="en-US" w:eastAsia="zh-CN"/>
        </w:rPr>
      </w:pPr>
      <w:r>
        <w:rPr>
          <w:rFonts w:hint="eastAsia" w:ascii="宋体" w:hAnsi="宋体" w:eastAsia="宋体" w:cs="宋体"/>
          <w:sz w:val="24"/>
        </w:rPr>
        <w:t>十</w:t>
      </w:r>
      <w:r>
        <w:rPr>
          <w:rFonts w:hint="eastAsia" w:ascii="宋体" w:hAnsi="宋体" w:cs="宋体"/>
          <w:sz w:val="24"/>
          <w:lang w:eastAsia="zh-CN"/>
        </w:rPr>
        <w:t>二</w:t>
      </w:r>
      <w:r>
        <w:rPr>
          <w:rFonts w:hint="eastAsia" w:ascii="宋体" w:hAnsi="宋体" w:eastAsia="宋体" w:cs="宋体"/>
          <w:sz w:val="24"/>
        </w:rPr>
        <w:t>、国有资本经营预算财政拨款支出决算表</w:t>
      </w:r>
      <w:r>
        <w:rPr>
          <w:rFonts w:hint="eastAsia" w:ascii="宋体" w:hAnsi="宋体" w:eastAsia="宋体" w:cs="宋体"/>
          <w:sz w:val="24"/>
          <w:lang w:val="en-US" w:eastAsia="zh-CN"/>
        </w:rPr>
        <w:t>………………………</w:t>
      </w:r>
      <w:r>
        <w:rPr>
          <w:rFonts w:hint="eastAsia" w:ascii="宋体" w:hAnsi="宋体" w:cs="宋体"/>
          <w:sz w:val="24"/>
          <w:lang w:val="en-US" w:eastAsia="zh-CN"/>
        </w:rPr>
        <w:t>52</w:t>
      </w:r>
    </w:p>
    <w:p w14:paraId="52F40DE5">
      <w:pPr>
        <w:pStyle w:val="10"/>
        <w:adjustRightInd w:val="0"/>
        <w:snapToGrid w:val="0"/>
        <w:spacing w:line="440" w:lineRule="exact"/>
        <w:jc w:val="left"/>
        <w:rPr>
          <w:rFonts w:hint="default" w:ascii="仿宋" w:hAnsi="仿宋" w:eastAsia="仿宋"/>
          <w:sz w:val="24"/>
          <w:lang w:val="en-US"/>
        </w:rPr>
      </w:pPr>
      <w:r>
        <w:rPr>
          <w:rFonts w:hint="eastAsia" w:ascii="宋体" w:hAnsi="宋体" w:eastAsia="宋体" w:cs="宋体"/>
          <w:sz w:val="24"/>
        </w:rPr>
        <w:t>十</w:t>
      </w:r>
      <w:r>
        <w:rPr>
          <w:rFonts w:hint="eastAsia" w:ascii="宋体" w:hAnsi="宋体" w:cs="宋体"/>
          <w:sz w:val="24"/>
          <w:lang w:eastAsia="zh-CN"/>
        </w:rPr>
        <w:t>三</w:t>
      </w:r>
      <w:r>
        <w:rPr>
          <w:rFonts w:hint="eastAsia" w:ascii="仿宋" w:hAnsi="仿宋" w:eastAsia="仿宋"/>
          <w:sz w:val="24"/>
        </w:rPr>
        <w:t>、</w:t>
      </w:r>
      <w:r>
        <w:rPr>
          <w:rFonts w:hint="eastAsia"/>
          <w:sz w:val="24"/>
        </w:rPr>
        <w:t>财政拨款“三公”经费支出决算表</w:t>
      </w:r>
      <w:r>
        <w:rPr>
          <w:rFonts w:hint="eastAsia" w:ascii="宋体" w:hAnsi="宋体" w:eastAsia="宋体" w:cs="宋体"/>
          <w:sz w:val="24"/>
          <w:lang w:val="en-US" w:eastAsia="zh-CN"/>
        </w:rPr>
        <w:t>……………………………</w:t>
      </w:r>
      <w:r>
        <w:rPr>
          <w:rFonts w:hint="eastAsia" w:ascii="宋体" w:hAnsi="宋体" w:cs="宋体"/>
          <w:sz w:val="24"/>
          <w:lang w:val="en-US" w:eastAsia="zh-CN"/>
        </w:rPr>
        <w:t>52</w:t>
      </w:r>
    </w:p>
    <w:p w14:paraId="3FCC44E9">
      <w:pPr>
        <w:widowControl/>
        <w:adjustRightInd w:val="0"/>
        <w:snapToGrid w:val="0"/>
        <w:spacing w:line="440" w:lineRule="exact"/>
        <w:ind w:firstLine="1320" w:firstLineChars="550"/>
        <w:jc w:val="left"/>
        <w:rPr>
          <w:rFonts w:hint="eastAsia" w:ascii="宋体" w:hAnsi="宋体" w:eastAsia="宋体" w:cs="宋体"/>
          <w:color w:val="FF0000"/>
          <w:sz w:val="24"/>
        </w:rPr>
      </w:pPr>
    </w:p>
    <w:p w14:paraId="399A2558"/>
    <w:p w14:paraId="4200109E"/>
    <w:p w14:paraId="2674C4A2"/>
    <w:p w14:paraId="53C4F9E8"/>
    <w:p w14:paraId="0A4CD775"/>
    <w:p w14:paraId="10A4DB57"/>
    <w:p w14:paraId="29A4679D"/>
    <w:p w14:paraId="04CB8DAA"/>
    <w:p w14:paraId="6CBD761E"/>
    <w:p w14:paraId="4EC25ED9"/>
    <w:p w14:paraId="4CA73C2C"/>
    <w:p w14:paraId="1F8210B2"/>
    <w:p w14:paraId="0022445C"/>
    <w:p w14:paraId="0E418BD5"/>
    <w:p w14:paraId="5495A601"/>
    <w:p w14:paraId="577DC711"/>
    <w:p w14:paraId="4A02D98A"/>
    <w:p w14:paraId="1F8F3487"/>
    <w:p w14:paraId="6EDE84B8"/>
    <w:p w14:paraId="2F68542E"/>
    <w:p w14:paraId="185CC053"/>
    <w:p w14:paraId="047EEEF3"/>
    <w:p w14:paraId="77B36837"/>
    <w:p w14:paraId="5BC233F6"/>
    <w:p w14:paraId="5AEFC8D9"/>
    <w:p w14:paraId="791AA5E7"/>
    <w:p w14:paraId="0356167F"/>
    <w:p w14:paraId="31ABEDAE"/>
    <w:p w14:paraId="2D5FC1AB"/>
    <w:p w14:paraId="2C21C945">
      <w:pPr>
        <w:rPr>
          <w:sz w:val="32"/>
          <w:szCs w:val="32"/>
        </w:rPr>
      </w:pPr>
    </w:p>
    <w:p w14:paraId="09F54618">
      <w:pPr>
        <w:pStyle w:val="2"/>
        <w:rPr>
          <w:sz w:val="32"/>
          <w:szCs w:val="32"/>
        </w:rPr>
      </w:pPr>
    </w:p>
    <w:p w14:paraId="54E00DB9">
      <w:pPr>
        <w:pStyle w:val="2"/>
        <w:rPr>
          <w:sz w:val="32"/>
          <w:szCs w:val="32"/>
        </w:rPr>
      </w:pPr>
    </w:p>
    <w:p w14:paraId="656DC79A">
      <w:pPr>
        <w:ind w:firstLine="442" w:firstLineChars="100"/>
        <w:jc w:val="center"/>
        <w:rPr>
          <w:sz w:val="32"/>
          <w:szCs w:val="32"/>
        </w:rPr>
      </w:pPr>
      <w:r>
        <w:rPr>
          <w:rFonts w:hint="eastAsia"/>
          <w:b/>
          <w:bCs/>
          <w:sz w:val="44"/>
          <w:szCs w:val="44"/>
        </w:rPr>
        <w:t>第一部分    部门概况</w:t>
      </w:r>
    </w:p>
    <w:p w14:paraId="794117C0">
      <w:pPr>
        <w:jc w:val="center"/>
        <w:rPr>
          <w:sz w:val="32"/>
          <w:szCs w:val="32"/>
        </w:rPr>
      </w:pPr>
    </w:p>
    <w:p w14:paraId="6D7CF6BF">
      <w:pPr>
        <w:pStyle w:val="15"/>
        <w:numPr>
          <w:ilvl w:val="0"/>
          <w:numId w:val="1"/>
        </w:numPr>
        <w:ind w:firstLineChars="0"/>
        <w:rPr>
          <w:b/>
          <w:bCs/>
          <w:sz w:val="32"/>
          <w:szCs w:val="32"/>
        </w:rPr>
      </w:pPr>
      <w:r>
        <w:rPr>
          <w:rFonts w:hint="eastAsia"/>
          <w:b/>
          <w:bCs/>
          <w:sz w:val="32"/>
          <w:szCs w:val="32"/>
        </w:rPr>
        <w:t>基本职能及主要工作</w:t>
      </w:r>
    </w:p>
    <w:p w14:paraId="756DE831">
      <w:pPr>
        <w:pStyle w:val="15"/>
        <w:numPr>
          <w:ilvl w:val="0"/>
          <w:numId w:val="2"/>
        </w:numPr>
        <w:ind w:firstLineChars="0"/>
        <w:rPr>
          <w:sz w:val="30"/>
          <w:szCs w:val="30"/>
        </w:rPr>
      </w:pPr>
      <w:r>
        <w:rPr>
          <w:rFonts w:hint="eastAsia"/>
          <w:sz w:val="30"/>
          <w:szCs w:val="30"/>
        </w:rPr>
        <w:t>主要职能</w:t>
      </w:r>
    </w:p>
    <w:p w14:paraId="0BC7DC1C">
      <w:pPr>
        <w:ind w:firstLine="600" w:firstLineChars="200"/>
        <w:rPr>
          <w:sz w:val="30"/>
          <w:szCs w:val="30"/>
        </w:rPr>
      </w:pPr>
      <w:r>
        <w:rPr>
          <w:rFonts w:hint="eastAsia"/>
          <w:sz w:val="30"/>
          <w:szCs w:val="30"/>
        </w:rPr>
        <w:t>岳池县社会救助福利中心的主要职能是：提供救助服务，弘扬救助精神，依照国家和省有关流乞人员、老年人、未成年人的法律法规和相关政策，对流乞人员、“三无”老人、未成年的弃婴弃童和孤儿等救助对象提供救助、收养及给予生活照料等工作。</w:t>
      </w:r>
    </w:p>
    <w:p w14:paraId="69E21C23">
      <w:pPr>
        <w:pStyle w:val="15"/>
        <w:numPr>
          <w:ilvl w:val="0"/>
          <w:numId w:val="2"/>
        </w:numPr>
        <w:ind w:firstLineChars="0"/>
        <w:rPr>
          <w:sz w:val="30"/>
          <w:szCs w:val="30"/>
        </w:rPr>
      </w:pPr>
      <w:r>
        <w:rPr>
          <w:rFonts w:hint="eastAsia"/>
          <w:sz w:val="30"/>
          <w:szCs w:val="30"/>
        </w:rPr>
        <w:t>20</w:t>
      </w:r>
      <w:r>
        <w:rPr>
          <w:rFonts w:hint="eastAsia"/>
          <w:sz w:val="30"/>
          <w:szCs w:val="30"/>
          <w:lang w:val="en-US" w:eastAsia="zh-CN"/>
        </w:rPr>
        <w:t>22</w:t>
      </w:r>
      <w:r>
        <w:rPr>
          <w:rFonts w:hint="eastAsia"/>
          <w:sz w:val="30"/>
          <w:szCs w:val="30"/>
        </w:rPr>
        <w:t>年重点工作完成情况</w:t>
      </w:r>
    </w:p>
    <w:p w14:paraId="2DCC36C0">
      <w:pPr>
        <w:ind w:firstLine="600" w:firstLineChars="200"/>
        <w:rPr>
          <w:rFonts w:hint="eastAsia"/>
          <w:sz w:val="24"/>
        </w:rPr>
      </w:pPr>
      <w:r>
        <w:rPr>
          <w:rFonts w:hint="eastAsia"/>
          <w:sz w:val="30"/>
          <w:szCs w:val="30"/>
        </w:rPr>
        <w:t>20</w:t>
      </w:r>
      <w:r>
        <w:rPr>
          <w:rFonts w:hint="eastAsia"/>
          <w:sz w:val="30"/>
          <w:szCs w:val="30"/>
          <w:lang w:val="en-US" w:eastAsia="zh-CN"/>
        </w:rPr>
        <w:t>22</w:t>
      </w:r>
      <w:r>
        <w:rPr>
          <w:rFonts w:hint="eastAsia"/>
          <w:sz w:val="30"/>
          <w:szCs w:val="30"/>
        </w:rPr>
        <w:t>年我单位共完成了救助任务</w:t>
      </w:r>
      <w:r>
        <w:rPr>
          <w:rFonts w:hint="eastAsia"/>
          <w:sz w:val="30"/>
          <w:szCs w:val="30"/>
          <w:lang w:val="en-US" w:eastAsia="zh-CN"/>
        </w:rPr>
        <w:t>164</w:t>
      </w:r>
      <w:r>
        <w:rPr>
          <w:rFonts w:hint="eastAsia"/>
          <w:sz w:val="30"/>
          <w:szCs w:val="30"/>
        </w:rPr>
        <w:t>人次。其中女性</w:t>
      </w:r>
      <w:r>
        <w:rPr>
          <w:rFonts w:hint="eastAsia"/>
          <w:sz w:val="30"/>
          <w:szCs w:val="30"/>
          <w:lang w:eastAsia="zh-CN"/>
        </w:rPr>
        <w:t>求助对象</w:t>
      </w:r>
      <w:r>
        <w:rPr>
          <w:rFonts w:hint="eastAsia"/>
          <w:sz w:val="30"/>
          <w:szCs w:val="30"/>
          <w:lang w:val="en-US" w:eastAsia="zh-CN"/>
        </w:rPr>
        <w:t>63</w:t>
      </w:r>
      <w:r>
        <w:rPr>
          <w:rFonts w:hint="eastAsia"/>
          <w:sz w:val="30"/>
          <w:szCs w:val="30"/>
        </w:rPr>
        <w:t>人次、男性</w:t>
      </w:r>
      <w:r>
        <w:rPr>
          <w:rFonts w:hint="eastAsia"/>
          <w:sz w:val="30"/>
          <w:szCs w:val="30"/>
          <w:lang w:eastAsia="zh-CN"/>
        </w:rPr>
        <w:t>求助对象</w:t>
      </w:r>
      <w:r>
        <w:rPr>
          <w:rFonts w:hint="eastAsia"/>
          <w:sz w:val="30"/>
          <w:szCs w:val="30"/>
          <w:lang w:val="en-US" w:eastAsia="zh-CN"/>
        </w:rPr>
        <w:t>101</w:t>
      </w:r>
      <w:r>
        <w:rPr>
          <w:rFonts w:hint="eastAsia"/>
          <w:sz w:val="30"/>
          <w:szCs w:val="30"/>
        </w:rPr>
        <w:t>人次；未成年人</w:t>
      </w:r>
      <w:r>
        <w:rPr>
          <w:rFonts w:hint="eastAsia"/>
          <w:sz w:val="30"/>
          <w:szCs w:val="30"/>
          <w:lang w:val="en-US" w:eastAsia="zh-CN"/>
        </w:rPr>
        <w:t>88</w:t>
      </w:r>
      <w:r>
        <w:rPr>
          <w:rFonts w:hint="eastAsia"/>
          <w:sz w:val="30"/>
          <w:szCs w:val="30"/>
        </w:rPr>
        <w:t>人次、老年人</w:t>
      </w:r>
      <w:r>
        <w:rPr>
          <w:rFonts w:hint="eastAsia"/>
          <w:sz w:val="30"/>
          <w:szCs w:val="30"/>
          <w:lang w:val="en-US" w:eastAsia="zh-CN"/>
        </w:rPr>
        <w:t>26</w:t>
      </w:r>
      <w:r>
        <w:rPr>
          <w:rFonts w:hint="eastAsia"/>
          <w:sz w:val="30"/>
          <w:szCs w:val="30"/>
        </w:rPr>
        <w:t>人次、残疾人</w:t>
      </w:r>
      <w:r>
        <w:rPr>
          <w:rFonts w:hint="eastAsia"/>
          <w:sz w:val="30"/>
          <w:szCs w:val="30"/>
          <w:lang w:val="en-US" w:eastAsia="zh-CN"/>
        </w:rPr>
        <w:t>9</w:t>
      </w:r>
      <w:r>
        <w:rPr>
          <w:rFonts w:hint="eastAsia"/>
          <w:sz w:val="30"/>
          <w:szCs w:val="30"/>
        </w:rPr>
        <w:t>人次、危重病人</w:t>
      </w:r>
      <w:r>
        <w:rPr>
          <w:rFonts w:hint="eastAsia"/>
          <w:sz w:val="30"/>
          <w:szCs w:val="30"/>
          <w:lang w:val="en-US" w:eastAsia="zh-CN"/>
        </w:rPr>
        <w:t>2</w:t>
      </w:r>
      <w:r>
        <w:rPr>
          <w:rFonts w:hint="eastAsia"/>
          <w:sz w:val="30"/>
          <w:szCs w:val="30"/>
        </w:rPr>
        <w:t>人次、精神病人</w:t>
      </w:r>
      <w:r>
        <w:rPr>
          <w:rFonts w:hint="eastAsia"/>
          <w:sz w:val="30"/>
          <w:szCs w:val="30"/>
          <w:lang w:val="en-US" w:eastAsia="zh-CN"/>
        </w:rPr>
        <w:t>13</w:t>
      </w:r>
      <w:r>
        <w:rPr>
          <w:rFonts w:hint="eastAsia"/>
          <w:sz w:val="30"/>
          <w:szCs w:val="30"/>
        </w:rPr>
        <w:t>人次、智力障碍</w:t>
      </w:r>
      <w:r>
        <w:rPr>
          <w:rFonts w:hint="eastAsia"/>
          <w:sz w:val="30"/>
          <w:szCs w:val="30"/>
          <w:lang w:val="en-US" w:eastAsia="zh-CN"/>
        </w:rPr>
        <w:t>3</w:t>
      </w:r>
      <w:r>
        <w:rPr>
          <w:rFonts w:hint="eastAsia"/>
          <w:sz w:val="30"/>
          <w:szCs w:val="30"/>
        </w:rPr>
        <w:t>人次；省内护送返乡</w:t>
      </w:r>
      <w:r>
        <w:rPr>
          <w:rFonts w:hint="eastAsia"/>
          <w:sz w:val="30"/>
          <w:szCs w:val="30"/>
          <w:lang w:val="en-US" w:eastAsia="zh-CN"/>
        </w:rPr>
        <w:t>26人</w:t>
      </w:r>
      <w:r>
        <w:rPr>
          <w:rFonts w:hint="eastAsia"/>
          <w:sz w:val="30"/>
          <w:szCs w:val="30"/>
        </w:rPr>
        <w:t>、自行离站</w:t>
      </w:r>
      <w:r>
        <w:rPr>
          <w:rFonts w:hint="eastAsia"/>
          <w:sz w:val="30"/>
          <w:szCs w:val="30"/>
          <w:lang w:val="en-US" w:eastAsia="zh-CN"/>
        </w:rPr>
        <w:t>133</w:t>
      </w:r>
      <w:r>
        <w:rPr>
          <w:rFonts w:hint="eastAsia"/>
          <w:sz w:val="30"/>
          <w:szCs w:val="30"/>
        </w:rPr>
        <w:t>人</w:t>
      </w:r>
      <w:r>
        <w:rPr>
          <w:rFonts w:hint="eastAsia"/>
          <w:sz w:val="30"/>
          <w:szCs w:val="30"/>
          <w:lang w:eastAsia="zh-CN"/>
        </w:rPr>
        <w:t>、</w:t>
      </w:r>
      <w:r>
        <w:rPr>
          <w:rFonts w:hint="eastAsia"/>
          <w:sz w:val="30"/>
          <w:szCs w:val="30"/>
        </w:rPr>
        <w:t>省外护送返乡</w:t>
      </w:r>
      <w:r>
        <w:rPr>
          <w:rFonts w:hint="eastAsia"/>
          <w:sz w:val="30"/>
          <w:szCs w:val="30"/>
          <w:lang w:val="en-US" w:eastAsia="zh-CN"/>
        </w:rPr>
        <w:t>3</w:t>
      </w:r>
      <w:r>
        <w:rPr>
          <w:rFonts w:hint="eastAsia"/>
          <w:sz w:val="30"/>
          <w:szCs w:val="30"/>
        </w:rPr>
        <w:t>人、自行离站</w:t>
      </w:r>
      <w:r>
        <w:rPr>
          <w:rFonts w:hint="eastAsia"/>
          <w:sz w:val="30"/>
          <w:szCs w:val="30"/>
          <w:lang w:val="en-US" w:eastAsia="zh-CN"/>
        </w:rPr>
        <w:t>2</w:t>
      </w:r>
      <w:r>
        <w:rPr>
          <w:rFonts w:hint="eastAsia"/>
          <w:sz w:val="30"/>
          <w:szCs w:val="30"/>
        </w:rPr>
        <w:t>人；临时安置</w:t>
      </w:r>
      <w:r>
        <w:rPr>
          <w:rFonts w:hint="eastAsia"/>
          <w:sz w:val="30"/>
          <w:szCs w:val="30"/>
          <w:lang w:val="en-US" w:eastAsia="zh-CN"/>
        </w:rPr>
        <w:t>2</w:t>
      </w:r>
      <w:r>
        <w:rPr>
          <w:rFonts w:hint="eastAsia"/>
          <w:sz w:val="30"/>
          <w:szCs w:val="30"/>
        </w:rPr>
        <w:t>人。我站在20</w:t>
      </w:r>
      <w:r>
        <w:rPr>
          <w:rFonts w:hint="eastAsia"/>
          <w:sz w:val="30"/>
          <w:szCs w:val="30"/>
          <w:lang w:val="en-US" w:eastAsia="zh-CN"/>
        </w:rPr>
        <w:t>22</w:t>
      </w:r>
      <w:r>
        <w:rPr>
          <w:rFonts w:hint="eastAsia"/>
          <w:sz w:val="30"/>
          <w:szCs w:val="30"/>
        </w:rPr>
        <w:t>年把街头巡查救助工作、夏季送清凉活动、寒冬送温暖活动、</w:t>
      </w:r>
      <w:r>
        <w:rPr>
          <w:rFonts w:hint="eastAsia"/>
          <w:sz w:val="30"/>
          <w:szCs w:val="30"/>
          <w:lang w:eastAsia="zh-CN"/>
        </w:rPr>
        <w:t>开展救助帮扶和</w:t>
      </w:r>
      <w:r>
        <w:rPr>
          <w:rFonts w:hint="eastAsia"/>
          <w:sz w:val="30"/>
          <w:szCs w:val="30"/>
        </w:rPr>
        <w:t>回访活动</w:t>
      </w:r>
      <w:r>
        <w:rPr>
          <w:rFonts w:hint="eastAsia"/>
          <w:sz w:val="30"/>
          <w:szCs w:val="30"/>
          <w:lang w:eastAsia="zh-CN"/>
        </w:rPr>
        <w:t>以及对困境未成年人和孤儿的救助</w:t>
      </w:r>
      <w:r>
        <w:rPr>
          <w:rFonts w:hint="eastAsia"/>
          <w:sz w:val="30"/>
          <w:szCs w:val="30"/>
        </w:rPr>
        <w:t>作为常规工作日程范围开展工作。</w:t>
      </w:r>
    </w:p>
    <w:p w14:paraId="2FFD1CD0">
      <w:pPr>
        <w:pStyle w:val="15"/>
        <w:numPr>
          <w:ilvl w:val="0"/>
          <w:numId w:val="1"/>
        </w:numPr>
        <w:ind w:firstLineChars="0"/>
        <w:rPr>
          <w:b/>
          <w:bCs/>
          <w:sz w:val="32"/>
          <w:szCs w:val="32"/>
        </w:rPr>
      </w:pPr>
      <w:r>
        <w:rPr>
          <w:rFonts w:hint="eastAsia"/>
          <w:b/>
          <w:bCs/>
          <w:sz w:val="32"/>
          <w:szCs w:val="32"/>
        </w:rPr>
        <w:t>机构设置</w:t>
      </w:r>
    </w:p>
    <w:p w14:paraId="617E18A1">
      <w:pPr>
        <w:ind w:firstLine="600" w:firstLineChars="200"/>
        <w:rPr>
          <w:rFonts w:hint="eastAsia"/>
          <w:sz w:val="30"/>
          <w:szCs w:val="30"/>
          <w:lang w:eastAsia="zh-CN"/>
        </w:rPr>
      </w:pPr>
      <w:r>
        <w:rPr>
          <w:rFonts w:hint="eastAsia"/>
          <w:sz w:val="30"/>
          <w:szCs w:val="30"/>
        </w:rPr>
        <w:t>岳池县社会救助福利中心是财政全额拨款的一级预算</w:t>
      </w:r>
      <w:r>
        <w:rPr>
          <w:rFonts w:hint="eastAsia"/>
          <w:sz w:val="30"/>
          <w:szCs w:val="30"/>
          <w:lang w:eastAsia="zh-CN"/>
        </w:rPr>
        <w:t>事业</w:t>
      </w:r>
      <w:r>
        <w:rPr>
          <w:rFonts w:hint="eastAsia"/>
          <w:sz w:val="30"/>
          <w:szCs w:val="30"/>
        </w:rPr>
        <w:t>单位，</w:t>
      </w:r>
      <w:r>
        <w:rPr>
          <w:rFonts w:hint="eastAsia"/>
          <w:sz w:val="30"/>
          <w:szCs w:val="30"/>
          <w:lang w:eastAsia="zh-CN"/>
        </w:rPr>
        <w:t>共有在职人员</w:t>
      </w:r>
      <w:r>
        <w:rPr>
          <w:rFonts w:hint="eastAsia"/>
          <w:sz w:val="30"/>
          <w:szCs w:val="30"/>
          <w:lang w:val="en-US" w:eastAsia="zh-CN"/>
        </w:rPr>
        <w:t>17名，内设5个科室</w:t>
      </w:r>
      <w:r>
        <w:rPr>
          <w:rFonts w:hint="eastAsia"/>
          <w:sz w:val="30"/>
          <w:szCs w:val="30"/>
        </w:rPr>
        <w:t>。</w:t>
      </w:r>
      <w:r>
        <w:rPr>
          <w:rFonts w:hint="eastAsia"/>
          <w:sz w:val="30"/>
          <w:szCs w:val="30"/>
          <w:lang w:eastAsia="zh-CN"/>
        </w:rPr>
        <w:t>设有中心办公室，主要负责全中心的事务工作；救助办公室，主要负责对流浪乞讨人员进行日常的接收、护送、查找等事务工作；福利院办公室，主要负责对福利院的特困人员进行日常管理工作；财务室，主要负责全中心的财务工作；儿童福利院，主要负责全县困境未成年人及孤儿的救助工作。</w:t>
      </w:r>
    </w:p>
    <w:p w14:paraId="6C3438B9">
      <w:pPr>
        <w:ind w:firstLine="600" w:firstLineChars="200"/>
        <w:rPr>
          <w:rFonts w:hint="default"/>
          <w:sz w:val="30"/>
          <w:szCs w:val="30"/>
          <w:lang w:val="en-US" w:eastAsia="zh-CN"/>
        </w:rPr>
      </w:pPr>
    </w:p>
    <w:p w14:paraId="14AF36D6">
      <w:pPr>
        <w:ind w:firstLine="600" w:firstLineChars="200"/>
        <w:rPr>
          <w:rFonts w:hint="default"/>
          <w:sz w:val="30"/>
          <w:szCs w:val="30"/>
          <w:lang w:val="en-US" w:eastAsia="zh-CN"/>
        </w:rPr>
      </w:pPr>
    </w:p>
    <w:p w14:paraId="5D4A86CE">
      <w:pPr>
        <w:rPr>
          <w:sz w:val="24"/>
        </w:rPr>
      </w:pPr>
    </w:p>
    <w:p w14:paraId="5FC8746F">
      <w:pPr>
        <w:ind w:firstLine="442" w:firstLineChars="100"/>
        <w:jc w:val="center"/>
        <w:rPr>
          <w:rFonts w:hint="eastAsia"/>
          <w:b/>
          <w:bCs/>
          <w:sz w:val="44"/>
          <w:szCs w:val="44"/>
        </w:rPr>
      </w:pPr>
      <w:r>
        <w:rPr>
          <w:rFonts w:hint="eastAsia"/>
          <w:b/>
          <w:bCs/>
          <w:sz w:val="44"/>
          <w:szCs w:val="44"/>
        </w:rPr>
        <w:t>第二部</w:t>
      </w:r>
      <w:r>
        <w:rPr>
          <w:rFonts w:hint="eastAsia"/>
          <w:b/>
          <w:bCs/>
          <w:sz w:val="44"/>
          <w:szCs w:val="44"/>
          <w:lang w:eastAsia="zh-CN"/>
        </w:rPr>
        <w:t>分</w:t>
      </w:r>
      <w:r>
        <w:rPr>
          <w:rFonts w:hint="eastAsia"/>
          <w:b/>
          <w:bCs/>
          <w:sz w:val="44"/>
          <w:szCs w:val="44"/>
        </w:rPr>
        <w:t xml:space="preserve">   20</w:t>
      </w:r>
      <w:r>
        <w:rPr>
          <w:rFonts w:hint="eastAsia"/>
          <w:b/>
          <w:bCs/>
          <w:sz w:val="44"/>
          <w:szCs w:val="44"/>
          <w:lang w:val="en-US" w:eastAsia="zh-CN"/>
        </w:rPr>
        <w:t>22</w:t>
      </w:r>
      <w:r>
        <w:rPr>
          <w:rFonts w:hint="eastAsia"/>
          <w:b/>
          <w:bCs/>
          <w:sz w:val="44"/>
          <w:szCs w:val="44"/>
        </w:rPr>
        <w:t>年度</w:t>
      </w:r>
      <w:r>
        <w:rPr>
          <w:rFonts w:hint="eastAsia"/>
          <w:b/>
          <w:bCs/>
          <w:sz w:val="44"/>
          <w:szCs w:val="44"/>
          <w:lang w:eastAsia="zh-CN"/>
        </w:rPr>
        <w:t>单位</w:t>
      </w:r>
      <w:r>
        <w:rPr>
          <w:rFonts w:hint="eastAsia"/>
          <w:b/>
          <w:bCs/>
          <w:sz w:val="44"/>
          <w:szCs w:val="44"/>
        </w:rPr>
        <w:t>决算情况说明</w:t>
      </w:r>
    </w:p>
    <w:p w14:paraId="71000127">
      <w:pPr>
        <w:jc w:val="center"/>
        <w:rPr>
          <w:sz w:val="24"/>
        </w:rPr>
      </w:pPr>
    </w:p>
    <w:p w14:paraId="36FB077C">
      <w:pPr>
        <w:jc w:val="center"/>
        <w:rPr>
          <w:sz w:val="24"/>
        </w:rPr>
      </w:pPr>
    </w:p>
    <w:p w14:paraId="02C8658F">
      <w:pPr>
        <w:rPr>
          <w:b/>
          <w:bCs/>
          <w:sz w:val="32"/>
          <w:szCs w:val="32"/>
        </w:rPr>
      </w:pPr>
      <w:r>
        <w:rPr>
          <w:rFonts w:hint="eastAsia"/>
          <w:sz w:val="24"/>
        </w:rPr>
        <w:t>一</w:t>
      </w:r>
      <w:r>
        <w:rPr>
          <w:rFonts w:hint="eastAsia"/>
          <w:sz w:val="24"/>
          <w:lang w:eastAsia="zh-CN"/>
        </w:rPr>
        <w:t>、</w:t>
      </w:r>
      <w:r>
        <w:rPr>
          <w:rFonts w:hint="eastAsia"/>
          <w:b/>
          <w:bCs/>
          <w:sz w:val="32"/>
          <w:szCs w:val="32"/>
        </w:rPr>
        <w:t>收入支出决算总体情况说明</w:t>
      </w:r>
    </w:p>
    <w:p w14:paraId="2056E639">
      <w:pPr>
        <w:ind w:firstLine="600" w:firstLineChars="200"/>
        <w:rPr>
          <w:rFonts w:hint="eastAsia"/>
          <w:sz w:val="30"/>
          <w:szCs w:val="30"/>
        </w:rPr>
      </w:pPr>
      <w:r>
        <w:rPr>
          <w:rFonts w:hint="eastAsia"/>
          <w:sz w:val="30"/>
          <w:szCs w:val="30"/>
        </w:rPr>
        <w:t>20</w:t>
      </w:r>
      <w:r>
        <w:rPr>
          <w:rFonts w:hint="eastAsia"/>
          <w:sz w:val="30"/>
          <w:szCs w:val="30"/>
          <w:lang w:val="en-US" w:eastAsia="zh-CN"/>
        </w:rPr>
        <w:t>22</w:t>
      </w:r>
      <w:r>
        <w:rPr>
          <w:rFonts w:hint="eastAsia"/>
          <w:sz w:val="30"/>
          <w:szCs w:val="30"/>
        </w:rPr>
        <w:t>年度收入</w:t>
      </w:r>
      <w:r>
        <w:rPr>
          <w:rFonts w:hint="eastAsia"/>
          <w:sz w:val="30"/>
          <w:szCs w:val="30"/>
          <w:lang w:eastAsia="zh-CN"/>
        </w:rPr>
        <w:t>、</w:t>
      </w:r>
      <w:r>
        <w:rPr>
          <w:rFonts w:hint="eastAsia"/>
          <w:sz w:val="30"/>
          <w:szCs w:val="30"/>
        </w:rPr>
        <w:t>支出总计</w:t>
      </w:r>
      <w:r>
        <w:rPr>
          <w:rFonts w:hint="eastAsia"/>
          <w:sz w:val="30"/>
          <w:szCs w:val="30"/>
          <w:lang w:eastAsia="zh-CN"/>
        </w:rPr>
        <w:t>均为</w:t>
      </w:r>
      <w:r>
        <w:rPr>
          <w:rFonts w:hint="eastAsia"/>
          <w:sz w:val="30"/>
          <w:szCs w:val="30"/>
          <w:lang w:val="en-US" w:eastAsia="zh-CN"/>
        </w:rPr>
        <w:t>351.27</w:t>
      </w:r>
      <w:r>
        <w:rPr>
          <w:rFonts w:hint="eastAsia"/>
          <w:sz w:val="30"/>
          <w:szCs w:val="30"/>
        </w:rPr>
        <w:t>万元。与20</w:t>
      </w:r>
      <w:r>
        <w:rPr>
          <w:rFonts w:hint="eastAsia"/>
          <w:sz w:val="30"/>
          <w:szCs w:val="30"/>
          <w:lang w:val="en-US" w:eastAsia="zh-CN"/>
        </w:rPr>
        <w:t>21</w:t>
      </w:r>
      <w:r>
        <w:rPr>
          <w:rFonts w:hint="eastAsia"/>
          <w:sz w:val="30"/>
          <w:szCs w:val="30"/>
        </w:rPr>
        <w:t>年相比，收入</w:t>
      </w:r>
      <w:r>
        <w:rPr>
          <w:rFonts w:hint="eastAsia"/>
          <w:sz w:val="30"/>
          <w:szCs w:val="30"/>
          <w:lang w:eastAsia="zh-CN"/>
        </w:rPr>
        <w:t>、支出</w:t>
      </w:r>
      <w:r>
        <w:rPr>
          <w:rFonts w:hint="eastAsia"/>
          <w:sz w:val="30"/>
          <w:szCs w:val="30"/>
        </w:rPr>
        <w:t>总计</w:t>
      </w:r>
      <w:r>
        <w:rPr>
          <w:rFonts w:hint="eastAsia"/>
          <w:sz w:val="30"/>
          <w:szCs w:val="30"/>
          <w:lang w:eastAsia="zh-CN"/>
        </w:rPr>
        <w:t>各减少</w:t>
      </w:r>
      <w:r>
        <w:rPr>
          <w:rFonts w:hint="eastAsia"/>
          <w:sz w:val="30"/>
          <w:szCs w:val="30"/>
        </w:rPr>
        <w:t>了</w:t>
      </w:r>
      <w:r>
        <w:rPr>
          <w:rFonts w:hint="eastAsia"/>
          <w:sz w:val="30"/>
          <w:szCs w:val="30"/>
          <w:lang w:val="en-US" w:eastAsia="zh-CN"/>
        </w:rPr>
        <w:t>0.57</w:t>
      </w:r>
      <w:r>
        <w:rPr>
          <w:rFonts w:hint="eastAsia"/>
          <w:sz w:val="30"/>
          <w:szCs w:val="30"/>
        </w:rPr>
        <w:t>万元</w:t>
      </w:r>
      <w:r>
        <w:rPr>
          <w:rFonts w:hint="eastAsia"/>
          <w:sz w:val="30"/>
          <w:szCs w:val="30"/>
          <w:lang w:eastAsia="zh-CN"/>
        </w:rPr>
        <w:t>，下降</w:t>
      </w:r>
      <w:r>
        <w:rPr>
          <w:rFonts w:hint="eastAsia"/>
          <w:sz w:val="30"/>
          <w:szCs w:val="30"/>
          <w:lang w:val="en-US" w:eastAsia="zh-CN"/>
        </w:rPr>
        <w:t>0.16</w:t>
      </w:r>
      <w:r>
        <w:rPr>
          <w:rFonts w:hint="eastAsia"/>
          <w:sz w:val="30"/>
          <w:szCs w:val="30"/>
        </w:rPr>
        <w:t>%，主要</w:t>
      </w:r>
      <w:r>
        <w:rPr>
          <w:rFonts w:hint="eastAsia"/>
          <w:sz w:val="30"/>
          <w:szCs w:val="30"/>
          <w:lang w:eastAsia="zh-CN"/>
        </w:rPr>
        <w:t>原因是</w:t>
      </w:r>
      <w:r>
        <w:rPr>
          <w:rFonts w:hint="eastAsia"/>
          <w:sz w:val="30"/>
          <w:szCs w:val="30"/>
        </w:rPr>
        <w:t>20</w:t>
      </w:r>
      <w:r>
        <w:rPr>
          <w:rFonts w:hint="eastAsia"/>
          <w:sz w:val="30"/>
          <w:szCs w:val="30"/>
          <w:lang w:val="en-US" w:eastAsia="zh-CN"/>
        </w:rPr>
        <w:t>22</w:t>
      </w:r>
      <w:r>
        <w:rPr>
          <w:rFonts w:hint="eastAsia"/>
          <w:sz w:val="30"/>
          <w:szCs w:val="30"/>
        </w:rPr>
        <w:t>年度财政</w:t>
      </w:r>
      <w:r>
        <w:rPr>
          <w:rFonts w:hint="eastAsia"/>
          <w:sz w:val="30"/>
          <w:szCs w:val="30"/>
          <w:lang w:eastAsia="zh-CN"/>
        </w:rPr>
        <w:t>资金压减了公用经费支出</w:t>
      </w:r>
      <w:bookmarkStart w:id="23" w:name="_GoBack"/>
      <w:bookmarkEnd w:id="23"/>
      <w:r>
        <w:rPr>
          <w:rFonts w:hint="eastAsia"/>
          <w:sz w:val="30"/>
          <w:szCs w:val="30"/>
        </w:rPr>
        <w:t>。</w:t>
      </w:r>
    </w:p>
    <w:p w14:paraId="0F1C1DD3"/>
    <w:p w14:paraId="7B6F23B2">
      <w:pPr>
        <w:rPr>
          <w:rFonts w:hint="eastAsia"/>
        </w:rPr>
      </w:pPr>
      <w:r>
        <w:rPr>
          <w:rFonts w:hint="eastAsia" w:ascii="Times New Roman" w:hAnsi="Times New Roman" w:eastAsia="宋体" w:cs="Times New Roman"/>
          <w:kern w:val="2"/>
          <w:sz w:val="21"/>
          <w:szCs w:val="24"/>
          <w:lang w:val="en-US" w:eastAsia="zh-CN" w:bidi="ar-SA"/>
        </w:rPr>
        <w:pict>
          <v:shape id="_x0000_i1025" o:spt="75" type="#_x0000_t75" style="height:242.25pt;width:415.3pt;" fillcolor="#FFFFFF" filled="f" o:preferrelative="t" stroked="f" coordsize="21600,21600">
            <v:path/>
            <v:fill on="f" color2="#FFFFFF" focussize="0,0"/>
            <v:stroke on="f"/>
            <v:imagedata r:id="rId5" gain="65536f" blacklevel="0f" gamma="0" o:title=""/>
            <o:lock v:ext="edit" position="f" selection="f" grouping="f" rotation="f" cropping="f" text="f" aspectratio="t"/>
            <w10:wrap type="none"/>
            <w10:anchorlock/>
          </v:shape>
        </w:pict>
      </w:r>
    </w:p>
    <w:p w14:paraId="250DA801">
      <w:pPr>
        <w:ind w:firstLine="640" w:firstLineChars="200"/>
        <w:rPr>
          <w:rFonts w:hint="eastAsia"/>
        </w:rPr>
      </w:pPr>
      <w:r>
        <w:rPr>
          <w:rFonts w:hint="default" w:ascii="Times New Roman" w:hAnsi="Times New Roman" w:eastAsia="仿宋" w:cs="Times New Roman"/>
          <w:color w:val="000000"/>
          <w:sz w:val="32"/>
          <w:szCs w:val="32"/>
        </w:rPr>
        <w:t>（图1：收、支决算总计变动情况图）（柱状图）</w:t>
      </w:r>
    </w:p>
    <w:p w14:paraId="0878D9EF">
      <w:pPr>
        <w:pStyle w:val="15"/>
        <w:ind w:left="420" w:firstLine="0" w:firstLineChars="0"/>
        <w:rPr>
          <w:sz w:val="24"/>
        </w:rPr>
      </w:pPr>
    </w:p>
    <w:p w14:paraId="1BC2CD60">
      <w:pPr>
        <w:rPr>
          <w:rFonts w:hint="eastAsia"/>
          <w:b/>
          <w:bCs/>
          <w:sz w:val="32"/>
          <w:szCs w:val="32"/>
        </w:rPr>
      </w:pPr>
      <w:r>
        <w:rPr>
          <w:rFonts w:hint="eastAsia"/>
          <w:b/>
          <w:bCs/>
          <w:sz w:val="32"/>
          <w:szCs w:val="32"/>
        </w:rPr>
        <w:t>二</w:t>
      </w:r>
      <w:r>
        <w:rPr>
          <w:rFonts w:hint="eastAsia"/>
          <w:b/>
          <w:bCs/>
          <w:sz w:val="32"/>
          <w:szCs w:val="32"/>
          <w:lang w:eastAsia="zh-CN"/>
        </w:rPr>
        <w:t>、</w:t>
      </w:r>
      <w:r>
        <w:rPr>
          <w:rFonts w:hint="eastAsia"/>
          <w:b/>
          <w:bCs/>
          <w:sz w:val="32"/>
          <w:szCs w:val="32"/>
        </w:rPr>
        <w:t>收入决算情况说明</w:t>
      </w:r>
    </w:p>
    <w:p w14:paraId="4B13C970">
      <w:pPr>
        <w:ind w:firstLine="600" w:firstLineChars="200"/>
        <w:rPr>
          <w:rFonts w:hint="eastAsia"/>
          <w:sz w:val="30"/>
          <w:szCs w:val="30"/>
        </w:rPr>
      </w:pPr>
      <w:r>
        <w:rPr>
          <w:rFonts w:hint="eastAsia"/>
          <w:sz w:val="30"/>
          <w:szCs w:val="30"/>
        </w:rPr>
        <w:t>20</w:t>
      </w:r>
      <w:r>
        <w:rPr>
          <w:rFonts w:hint="eastAsia"/>
          <w:sz w:val="30"/>
          <w:szCs w:val="30"/>
          <w:lang w:val="en-US" w:eastAsia="zh-CN"/>
        </w:rPr>
        <w:t>22</w:t>
      </w:r>
      <w:r>
        <w:rPr>
          <w:rFonts w:hint="eastAsia"/>
          <w:sz w:val="30"/>
          <w:szCs w:val="30"/>
        </w:rPr>
        <w:t>年本年收入合计</w:t>
      </w:r>
      <w:r>
        <w:rPr>
          <w:rFonts w:hint="eastAsia"/>
          <w:sz w:val="30"/>
          <w:szCs w:val="30"/>
          <w:lang w:val="en-US" w:eastAsia="zh-CN"/>
        </w:rPr>
        <w:t>351.27</w:t>
      </w:r>
      <w:r>
        <w:rPr>
          <w:rFonts w:hint="eastAsia"/>
          <w:sz w:val="30"/>
          <w:szCs w:val="30"/>
        </w:rPr>
        <w:t>万元，其中：一般公共财预算拨款收入</w:t>
      </w:r>
      <w:r>
        <w:rPr>
          <w:rFonts w:hint="eastAsia"/>
          <w:sz w:val="30"/>
          <w:szCs w:val="30"/>
          <w:lang w:val="en-US" w:eastAsia="zh-CN"/>
        </w:rPr>
        <w:t>351.27</w:t>
      </w:r>
      <w:r>
        <w:rPr>
          <w:rFonts w:hint="eastAsia"/>
          <w:sz w:val="30"/>
          <w:szCs w:val="30"/>
        </w:rPr>
        <w:t>万元，占100%；政府性基金预算财政拨款收入0万元，占0%；国有资本经营预算财政拨款收入0万元，占0%；事业收入0万元，占0%；经营收入0万元，占0%；附属单位上缴收入0万元，占0% ；其他收入0万元，占0%。</w:t>
      </w:r>
    </w:p>
    <w:p w14:paraId="24AE0CF3">
      <w:r>
        <w:rPr>
          <w:rFonts w:ascii="Times New Roman" w:hAnsi="Times New Roman" w:eastAsia="宋体" w:cs="Times New Roman"/>
          <w:kern w:val="2"/>
          <w:sz w:val="21"/>
          <w:szCs w:val="24"/>
          <w:lang w:val="en-US" w:eastAsia="zh-CN" w:bidi="ar-SA"/>
        </w:rPr>
        <w:pict>
          <v:shape id="_x0000_i1027" o:spt="75" type="#_x0000_t75" style="height:242.25pt;width:415.3pt;" fillcolor="#FFFFFF" filled="f" o:preferrelative="t" stroked="f" coordsize="21600,21600">
            <v:path/>
            <v:fill on="f" color2="#FFFFFF" focussize="0,0"/>
            <v:stroke on="f"/>
            <v:imagedata r:id="rId6" gain="65536f" blacklevel="0f" gamma="0" o:title=""/>
            <o:lock v:ext="edit" position="f" selection="f" grouping="f" rotation="f" cropping="f" text="f" aspectratio="t"/>
            <w10:wrap type="none"/>
            <w10:anchorlock/>
          </v:shape>
        </w:pict>
      </w:r>
    </w:p>
    <w:p w14:paraId="6202A21E">
      <w:pPr>
        <w:ind w:firstLine="960" w:firstLineChars="300"/>
      </w:pPr>
      <w:r>
        <w:rPr>
          <w:rFonts w:hint="default" w:ascii="Times New Roman" w:hAnsi="Times New Roman" w:eastAsia="仿宋" w:cs="Times New Roman"/>
          <w:color w:val="000000"/>
          <w:sz w:val="32"/>
          <w:szCs w:val="32"/>
        </w:rPr>
        <w:t>（图2：收入决算结构图）（饼状图）</w:t>
      </w:r>
    </w:p>
    <w:p w14:paraId="4B8ECC23">
      <w:pPr>
        <w:pStyle w:val="15"/>
        <w:numPr>
          <w:ilvl w:val="0"/>
          <w:numId w:val="0"/>
        </w:numPr>
        <w:ind w:leftChars="0"/>
        <w:rPr>
          <w:b/>
          <w:bCs/>
          <w:sz w:val="32"/>
          <w:szCs w:val="32"/>
        </w:rPr>
      </w:pPr>
      <w:r>
        <w:rPr>
          <w:rFonts w:hint="eastAsia"/>
          <w:b/>
          <w:bCs/>
          <w:sz w:val="32"/>
          <w:szCs w:val="32"/>
          <w:lang w:eastAsia="zh-CN"/>
        </w:rPr>
        <w:t>三、</w:t>
      </w:r>
      <w:r>
        <w:rPr>
          <w:rFonts w:hint="eastAsia"/>
          <w:b/>
          <w:bCs/>
          <w:sz w:val="32"/>
          <w:szCs w:val="32"/>
        </w:rPr>
        <w:t>支出决算情况说明</w:t>
      </w:r>
    </w:p>
    <w:p w14:paraId="2BD6AA76">
      <w:pPr>
        <w:ind w:firstLine="600" w:firstLineChars="200"/>
        <w:rPr>
          <w:rFonts w:hint="eastAsia"/>
          <w:sz w:val="30"/>
          <w:szCs w:val="30"/>
        </w:rPr>
      </w:pPr>
      <w:r>
        <w:rPr>
          <w:rFonts w:hint="eastAsia"/>
          <w:sz w:val="30"/>
          <w:szCs w:val="30"/>
        </w:rPr>
        <w:t>20</w:t>
      </w:r>
      <w:r>
        <w:rPr>
          <w:rFonts w:hint="eastAsia"/>
          <w:sz w:val="30"/>
          <w:szCs w:val="30"/>
          <w:lang w:val="en-US" w:eastAsia="zh-CN"/>
        </w:rPr>
        <w:t>22</w:t>
      </w:r>
      <w:r>
        <w:rPr>
          <w:rFonts w:hint="eastAsia"/>
          <w:sz w:val="30"/>
          <w:szCs w:val="30"/>
        </w:rPr>
        <w:t>年本年支出合计</w:t>
      </w:r>
      <w:r>
        <w:rPr>
          <w:rFonts w:hint="eastAsia"/>
          <w:sz w:val="30"/>
          <w:szCs w:val="30"/>
          <w:lang w:val="en-US" w:eastAsia="zh-CN"/>
        </w:rPr>
        <w:t>351.27</w:t>
      </w:r>
      <w:r>
        <w:rPr>
          <w:rFonts w:hint="eastAsia"/>
          <w:sz w:val="30"/>
          <w:szCs w:val="30"/>
        </w:rPr>
        <w:t>万元，其中：基本支出</w:t>
      </w:r>
      <w:r>
        <w:rPr>
          <w:rFonts w:hint="eastAsia"/>
          <w:sz w:val="30"/>
          <w:szCs w:val="30"/>
          <w:lang w:val="en-US" w:eastAsia="zh-CN"/>
        </w:rPr>
        <w:t>230.07</w:t>
      </w:r>
      <w:r>
        <w:rPr>
          <w:rFonts w:hint="eastAsia"/>
          <w:sz w:val="30"/>
          <w:szCs w:val="30"/>
        </w:rPr>
        <w:t>万元，占</w:t>
      </w:r>
      <w:r>
        <w:rPr>
          <w:rFonts w:hint="eastAsia"/>
          <w:sz w:val="30"/>
          <w:szCs w:val="30"/>
          <w:lang w:val="en-US" w:eastAsia="zh-CN"/>
        </w:rPr>
        <w:t>65.50</w:t>
      </w:r>
      <w:r>
        <w:rPr>
          <w:rFonts w:hint="eastAsia"/>
          <w:sz w:val="30"/>
          <w:szCs w:val="30"/>
        </w:rPr>
        <w:t>%；项目支出</w:t>
      </w:r>
      <w:r>
        <w:rPr>
          <w:rFonts w:hint="eastAsia"/>
          <w:sz w:val="30"/>
          <w:szCs w:val="30"/>
          <w:lang w:val="en-US" w:eastAsia="zh-CN"/>
        </w:rPr>
        <w:t>121.19</w:t>
      </w:r>
      <w:r>
        <w:rPr>
          <w:rFonts w:hint="eastAsia"/>
          <w:sz w:val="30"/>
          <w:szCs w:val="30"/>
        </w:rPr>
        <w:t>万元，占</w:t>
      </w:r>
      <w:r>
        <w:rPr>
          <w:rFonts w:hint="eastAsia"/>
          <w:sz w:val="30"/>
          <w:szCs w:val="30"/>
          <w:lang w:val="en-US" w:eastAsia="zh-CN"/>
        </w:rPr>
        <w:t>34.50%</w:t>
      </w:r>
      <w:r>
        <w:rPr>
          <w:rFonts w:hint="eastAsia"/>
          <w:sz w:val="30"/>
          <w:szCs w:val="30"/>
        </w:rPr>
        <w:t>；上缴上级支出0万元，占0%；经营支出0万元，占0%；对附属单位补助支出0万元，占0%。</w:t>
      </w:r>
    </w:p>
    <w:p w14:paraId="164FDB41">
      <w:pPr>
        <w:ind w:firstLine="420" w:firstLineChars="200"/>
      </w:pPr>
    </w:p>
    <w:p w14:paraId="0A79115F">
      <w:pPr>
        <w:rPr>
          <w:rFonts w:hint="eastAsia"/>
        </w:rPr>
      </w:pPr>
      <w:r>
        <w:rPr>
          <w:rFonts w:hint="eastAsia" w:ascii="Times New Roman" w:hAnsi="Times New Roman" w:eastAsia="宋体" w:cs="Times New Roman"/>
          <w:kern w:val="2"/>
          <w:sz w:val="21"/>
          <w:szCs w:val="24"/>
          <w:lang w:val="en-US" w:eastAsia="zh-CN" w:bidi="ar-SA"/>
        </w:rPr>
        <w:pict>
          <v:shape id="_x0000_i1028" o:spt="75" type="#_x0000_t75" style="height:242.25pt;width:415.3pt;" fillcolor="#FFFFFF" filled="f" o:preferrelative="t" stroked="f" coordsize="21600,21600">
            <v:path/>
            <v:fill on="f" color2="#FFFFFF" focussize="0,0"/>
            <v:stroke on="f"/>
            <v:imagedata r:id="rId7" gain="65536f" blacklevel="0f" gamma="0" o:title=""/>
            <o:lock v:ext="edit" position="f" selection="f" grouping="f" rotation="f" cropping="f" text="f" aspectratio="t"/>
            <w10:wrap type="none"/>
            <w10:anchorlock/>
          </v:shape>
        </w:pict>
      </w:r>
    </w:p>
    <w:p w14:paraId="06FF5C68">
      <w:pPr>
        <w:ind w:firstLine="1280" w:firstLineChars="400"/>
        <w:rPr>
          <w:rFonts w:hint="eastAsia"/>
        </w:rPr>
      </w:pPr>
      <w:r>
        <w:rPr>
          <w:rFonts w:hint="default" w:ascii="Times New Roman" w:hAnsi="Times New Roman" w:eastAsia="仿宋" w:cs="Times New Roman"/>
          <w:color w:val="000000"/>
          <w:sz w:val="32"/>
          <w:szCs w:val="32"/>
        </w:rPr>
        <w:t>（图3：支出决算结构图）（饼状图）</w:t>
      </w:r>
    </w:p>
    <w:p w14:paraId="5FB8B32C">
      <w:pPr>
        <w:pStyle w:val="15"/>
        <w:numPr>
          <w:ilvl w:val="0"/>
          <w:numId w:val="0"/>
        </w:numPr>
        <w:ind w:leftChars="0"/>
        <w:rPr>
          <w:rFonts w:hint="eastAsia"/>
          <w:b/>
          <w:bCs/>
          <w:sz w:val="32"/>
          <w:szCs w:val="32"/>
        </w:rPr>
      </w:pPr>
      <w:r>
        <w:rPr>
          <w:rFonts w:hint="eastAsia"/>
          <w:b/>
          <w:bCs/>
          <w:sz w:val="32"/>
          <w:szCs w:val="32"/>
          <w:lang w:eastAsia="zh-CN"/>
        </w:rPr>
        <w:t>四、</w:t>
      </w:r>
      <w:r>
        <w:rPr>
          <w:rFonts w:hint="eastAsia"/>
          <w:b/>
          <w:bCs/>
          <w:sz w:val="32"/>
          <w:szCs w:val="32"/>
        </w:rPr>
        <w:t>财政拨款收入支出决算总体情况说明</w:t>
      </w:r>
    </w:p>
    <w:p w14:paraId="4E69EE61">
      <w:pPr>
        <w:ind w:firstLine="600" w:firstLineChars="200"/>
        <w:rPr>
          <w:rFonts w:hint="eastAsia"/>
          <w:sz w:val="30"/>
          <w:szCs w:val="30"/>
        </w:rPr>
      </w:pPr>
      <w:r>
        <w:rPr>
          <w:rFonts w:hint="eastAsia"/>
          <w:sz w:val="30"/>
          <w:szCs w:val="30"/>
        </w:rPr>
        <w:t>20</w:t>
      </w:r>
      <w:r>
        <w:rPr>
          <w:rFonts w:hint="eastAsia"/>
          <w:sz w:val="30"/>
          <w:szCs w:val="30"/>
          <w:lang w:val="en-US" w:eastAsia="zh-CN"/>
        </w:rPr>
        <w:t>22</w:t>
      </w:r>
      <w:r>
        <w:rPr>
          <w:rFonts w:hint="eastAsia"/>
          <w:sz w:val="30"/>
          <w:szCs w:val="30"/>
        </w:rPr>
        <w:t>年财政拨款收入</w:t>
      </w:r>
      <w:r>
        <w:rPr>
          <w:rFonts w:hint="eastAsia"/>
          <w:sz w:val="30"/>
          <w:szCs w:val="30"/>
          <w:lang w:eastAsia="zh-CN"/>
        </w:rPr>
        <w:t>、支出</w:t>
      </w:r>
      <w:r>
        <w:rPr>
          <w:rFonts w:hint="eastAsia"/>
          <w:sz w:val="30"/>
          <w:szCs w:val="30"/>
        </w:rPr>
        <w:t>总计</w:t>
      </w:r>
      <w:r>
        <w:rPr>
          <w:rFonts w:hint="eastAsia"/>
          <w:sz w:val="30"/>
          <w:szCs w:val="30"/>
          <w:lang w:val="en-US" w:eastAsia="zh-CN"/>
        </w:rPr>
        <w:t>351.27</w:t>
      </w:r>
      <w:r>
        <w:rPr>
          <w:rFonts w:hint="eastAsia"/>
          <w:sz w:val="30"/>
          <w:szCs w:val="30"/>
        </w:rPr>
        <w:t>万元，与20</w:t>
      </w:r>
      <w:r>
        <w:rPr>
          <w:rFonts w:hint="eastAsia"/>
          <w:sz w:val="30"/>
          <w:szCs w:val="30"/>
          <w:lang w:val="en-US" w:eastAsia="zh-CN"/>
        </w:rPr>
        <w:t>21</w:t>
      </w:r>
      <w:r>
        <w:rPr>
          <w:rFonts w:hint="eastAsia"/>
          <w:sz w:val="30"/>
          <w:szCs w:val="30"/>
        </w:rPr>
        <w:t>年相比，财政拨款收入、支出总计各</w:t>
      </w:r>
      <w:r>
        <w:rPr>
          <w:rFonts w:hint="eastAsia"/>
          <w:sz w:val="30"/>
          <w:szCs w:val="30"/>
          <w:lang w:eastAsia="zh-CN"/>
        </w:rPr>
        <w:t>减少</w:t>
      </w:r>
      <w:r>
        <w:rPr>
          <w:rFonts w:hint="eastAsia"/>
          <w:sz w:val="30"/>
          <w:szCs w:val="30"/>
        </w:rPr>
        <w:t>了</w:t>
      </w:r>
      <w:r>
        <w:rPr>
          <w:rFonts w:hint="eastAsia"/>
          <w:sz w:val="30"/>
          <w:szCs w:val="30"/>
          <w:lang w:val="en-US" w:eastAsia="zh-CN"/>
        </w:rPr>
        <w:t>0.57</w:t>
      </w:r>
      <w:r>
        <w:rPr>
          <w:rFonts w:hint="eastAsia"/>
          <w:sz w:val="30"/>
          <w:szCs w:val="30"/>
        </w:rPr>
        <w:t>万元，</w:t>
      </w:r>
      <w:r>
        <w:rPr>
          <w:rFonts w:hint="eastAsia"/>
          <w:sz w:val="30"/>
          <w:szCs w:val="30"/>
          <w:lang w:eastAsia="zh-CN"/>
        </w:rPr>
        <w:t>下降</w:t>
      </w:r>
      <w:r>
        <w:rPr>
          <w:rFonts w:hint="eastAsia"/>
          <w:sz w:val="30"/>
          <w:szCs w:val="30"/>
        </w:rPr>
        <w:t>了</w:t>
      </w:r>
      <w:r>
        <w:rPr>
          <w:rFonts w:hint="eastAsia"/>
          <w:sz w:val="30"/>
          <w:szCs w:val="30"/>
          <w:lang w:val="en-US" w:eastAsia="zh-CN"/>
        </w:rPr>
        <w:t>0.16</w:t>
      </w:r>
      <w:r>
        <w:rPr>
          <w:rFonts w:hint="eastAsia"/>
          <w:sz w:val="30"/>
          <w:szCs w:val="30"/>
        </w:rPr>
        <w:t>%，主要变动</w:t>
      </w:r>
      <w:r>
        <w:rPr>
          <w:rFonts w:hint="eastAsia"/>
          <w:sz w:val="30"/>
          <w:szCs w:val="30"/>
          <w:lang w:eastAsia="zh-CN"/>
        </w:rPr>
        <w:t>原因是</w:t>
      </w:r>
      <w:r>
        <w:rPr>
          <w:rFonts w:hint="eastAsia"/>
          <w:sz w:val="30"/>
          <w:szCs w:val="30"/>
        </w:rPr>
        <w:t>20</w:t>
      </w:r>
      <w:r>
        <w:rPr>
          <w:rFonts w:hint="eastAsia"/>
          <w:sz w:val="30"/>
          <w:szCs w:val="30"/>
          <w:lang w:val="en-US" w:eastAsia="zh-CN"/>
        </w:rPr>
        <w:t>22</w:t>
      </w:r>
      <w:r>
        <w:rPr>
          <w:rFonts w:hint="eastAsia"/>
          <w:sz w:val="30"/>
          <w:szCs w:val="30"/>
        </w:rPr>
        <w:t>年度财政</w:t>
      </w:r>
      <w:r>
        <w:rPr>
          <w:rFonts w:hint="eastAsia"/>
          <w:sz w:val="30"/>
          <w:szCs w:val="30"/>
          <w:lang w:eastAsia="zh-CN"/>
        </w:rPr>
        <w:t>资金压减了公用经费开支。</w:t>
      </w:r>
    </w:p>
    <w:p w14:paraId="006A7F01">
      <w:pPr>
        <w:ind w:firstLine="480" w:firstLineChars="200"/>
        <w:rPr>
          <w:sz w:val="24"/>
        </w:rPr>
      </w:pPr>
    </w:p>
    <w:p w14:paraId="69AA51A6">
      <w:r>
        <w:rPr>
          <w:rFonts w:ascii="Times New Roman" w:hAnsi="Times New Roman" w:eastAsia="宋体" w:cs="Times New Roman"/>
          <w:kern w:val="2"/>
          <w:sz w:val="21"/>
          <w:szCs w:val="24"/>
          <w:lang w:val="en-US" w:eastAsia="zh-CN" w:bidi="ar-SA"/>
        </w:rPr>
        <w:pict>
          <v:shape id="_x0000_i1029" o:spt="75" type="#_x0000_t75" style="height:242.25pt;width:415.3pt;" fillcolor="#FFFFFF" filled="f" o:preferrelative="t" stroked="f" coordsize="21600,21600">
            <v:path/>
            <v:fill on="f" color2="#FFFFFF" focussize="0,0"/>
            <v:stroke on="f"/>
            <v:imagedata r:id="rId8" gain="65536f" blacklevel="0f" gamma="0" o:title=""/>
            <o:lock v:ext="edit" position="f" selection="f" grouping="f" rotation="f" cropping="f" text="f" aspectratio="t"/>
            <w10:wrap type="none"/>
            <w10:anchorlock/>
          </v:shape>
        </w:pict>
      </w:r>
    </w:p>
    <w:p w14:paraId="429D4B85">
      <w:pPr>
        <w:spacing w:line="600" w:lineRule="exact"/>
        <w:ind w:firstLine="640" w:firstLineChars="200"/>
      </w:pPr>
      <w:r>
        <w:rPr>
          <w:rFonts w:hint="default" w:ascii="Times New Roman" w:hAnsi="Times New Roman" w:eastAsia="仿宋" w:cs="Times New Roman"/>
          <w:color w:val="000000"/>
          <w:sz w:val="32"/>
          <w:szCs w:val="32"/>
        </w:rPr>
        <w:t>（图4：财政拨款收、支决算总计变动情况）（柱状图）</w:t>
      </w:r>
    </w:p>
    <w:p w14:paraId="682F0487">
      <w:pPr>
        <w:pStyle w:val="15"/>
        <w:numPr>
          <w:ilvl w:val="0"/>
          <w:numId w:val="3"/>
        </w:numPr>
        <w:ind w:firstLineChars="0"/>
        <w:rPr>
          <w:rFonts w:hint="eastAsia"/>
          <w:b/>
          <w:bCs/>
          <w:sz w:val="32"/>
          <w:szCs w:val="32"/>
        </w:rPr>
      </w:pPr>
      <w:r>
        <w:rPr>
          <w:rFonts w:hint="eastAsia"/>
          <w:sz w:val="24"/>
        </w:rPr>
        <w:t>一</w:t>
      </w:r>
      <w:r>
        <w:rPr>
          <w:rFonts w:hint="eastAsia"/>
          <w:b/>
          <w:bCs/>
          <w:sz w:val="32"/>
          <w:szCs w:val="32"/>
        </w:rPr>
        <w:t>般公共预算财政拨款支出决算情况说明</w:t>
      </w:r>
    </w:p>
    <w:p w14:paraId="01954110">
      <w:pPr>
        <w:pStyle w:val="15"/>
        <w:numPr>
          <w:ilvl w:val="0"/>
          <w:numId w:val="0"/>
        </w:numPr>
        <w:ind w:leftChars="0" w:firstLine="600" w:firstLineChars="200"/>
        <w:rPr>
          <w:rFonts w:hint="eastAsia" w:ascii="Times New Roman" w:hAnsi="Times New Roman" w:eastAsia="宋体" w:cs="Times New Roman"/>
          <w:kern w:val="2"/>
          <w:sz w:val="30"/>
          <w:szCs w:val="30"/>
          <w:lang w:val="en-US" w:eastAsia="zh-CN" w:bidi="ar-SA"/>
        </w:rPr>
      </w:pPr>
      <w:r>
        <w:rPr>
          <w:rFonts w:hint="eastAsia" w:cs="Times New Roman"/>
          <w:kern w:val="2"/>
          <w:sz w:val="30"/>
          <w:szCs w:val="30"/>
          <w:lang w:val="en-US" w:eastAsia="zh-CN" w:bidi="ar-SA"/>
        </w:rPr>
        <w:t>（一）</w:t>
      </w:r>
      <w:r>
        <w:rPr>
          <w:rFonts w:hint="eastAsia" w:ascii="Times New Roman" w:hAnsi="Times New Roman" w:eastAsia="宋体" w:cs="Times New Roman"/>
          <w:kern w:val="2"/>
          <w:sz w:val="30"/>
          <w:szCs w:val="30"/>
          <w:lang w:val="en-US" w:eastAsia="zh-CN" w:bidi="ar-SA"/>
        </w:rPr>
        <w:t>一般公共预算财政拨款支出决算总体情况</w:t>
      </w:r>
    </w:p>
    <w:p w14:paraId="14E2FFA1">
      <w:pPr>
        <w:ind w:firstLine="600" w:firstLineChars="200"/>
        <w:rPr>
          <w:rFonts w:hint="eastAsia" w:ascii="Times New Roman" w:hAnsi="Times New Roman" w:eastAsia="宋体"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202</w:t>
      </w:r>
      <w:r>
        <w:rPr>
          <w:rFonts w:hint="eastAsia" w:cs="Times New Roman"/>
          <w:kern w:val="2"/>
          <w:sz w:val="30"/>
          <w:szCs w:val="30"/>
          <w:lang w:val="en-US" w:eastAsia="zh-CN" w:bidi="ar-SA"/>
        </w:rPr>
        <w:t>2</w:t>
      </w:r>
      <w:r>
        <w:rPr>
          <w:rFonts w:hint="eastAsia" w:ascii="Times New Roman" w:hAnsi="Times New Roman" w:eastAsia="宋体" w:cs="Times New Roman"/>
          <w:kern w:val="2"/>
          <w:sz w:val="30"/>
          <w:szCs w:val="30"/>
          <w:lang w:val="en-US" w:eastAsia="zh-CN" w:bidi="ar-SA"/>
        </w:rPr>
        <w:t>年一般公共预算财政拨款支出351.</w:t>
      </w:r>
      <w:r>
        <w:rPr>
          <w:rFonts w:hint="eastAsia" w:cs="Times New Roman"/>
          <w:kern w:val="2"/>
          <w:sz w:val="30"/>
          <w:szCs w:val="30"/>
          <w:lang w:val="en-US" w:eastAsia="zh-CN" w:bidi="ar-SA"/>
        </w:rPr>
        <w:t>27</w:t>
      </w:r>
      <w:r>
        <w:rPr>
          <w:rFonts w:hint="eastAsia" w:ascii="Times New Roman" w:hAnsi="Times New Roman" w:eastAsia="宋体" w:cs="Times New Roman"/>
          <w:kern w:val="2"/>
          <w:sz w:val="30"/>
          <w:szCs w:val="30"/>
          <w:lang w:val="en-US" w:eastAsia="zh-CN" w:bidi="ar-SA"/>
        </w:rPr>
        <w:t>万元，占本年支出合计的100%。与202</w:t>
      </w:r>
      <w:r>
        <w:rPr>
          <w:rFonts w:hint="eastAsia" w:cs="Times New Roman"/>
          <w:kern w:val="2"/>
          <w:sz w:val="30"/>
          <w:szCs w:val="30"/>
          <w:lang w:val="en-US" w:eastAsia="zh-CN" w:bidi="ar-SA"/>
        </w:rPr>
        <w:t>1</w:t>
      </w:r>
      <w:r>
        <w:rPr>
          <w:rFonts w:hint="eastAsia" w:ascii="Times New Roman" w:hAnsi="Times New Roman" w:eastAsia="宋体" w:cs="Times New Roman"/>
          <w:kern w:val="2"/>
          <w:sz w:val="30"/>
          <w:szCs w:val="30"/>
          <w:lang w:val="en-US" w:eastAsia="zh-CN" w:bidi="ar-SA"/>
        </w:rPr>
        <w:t>年相比，一般公共预算财政拨款支出</w:t>
      </w:r>
      <w:r>
        <w:rPr>
          <w:rFonts w:hint="eastAsia" w:cs="Times New Roman"/>
          <w:kern w:val="2"/>
          <w:sz w:val="30"/>
          <w:szCs w:val="30"/>
          <w:lang w:val="en-US" w:eastAsia="zh-CN" w:bidi="ar-SA"/>
        </w:rPr>
        <w:t>减少</w:t>
      </w:r>
      <w:r>
        <w:rPr>
          <w:rFonts w:hint="eastAsia" w:ascii="Times New Roman" w:hAnsi="Times New Roman" w:eastAsia="宋体" w:cs="Times New Roman"/>
          <w:kern w:val="2"/>
          <w:sz w:val="30"/>
          <w:szCs w:val="30"/>
          <w:lang w:val="en-US" w:eastAsia="zh-CN" w:bidi="ar-SA"/>
        </w:rPr>
        <w:t>了</w:t>
      </w:r>
      <w:r>
        <w:rPr>
          <w:rFonts w:hint="eastAsia" w:cs="Times New Roman"/>
          <w:kern w:val="2"/>
          <w:sz w:val="30"/>
          <w:szCs w:val="30"/>
          <w:lang w:val="en-US" w:eastAsia="zh-CN" w:bidi="ar-SA"/>
        </w:rPr>
        <w:t>0.57</w:t>
      </w:r>
      <w:r>
        <w:rPr>
          <w:rFonts w:hint="eastAsia" w:ascii="Times New Roman" w:hAnsi="Times New Roman" w:eastAsia="宋体" w:cs="Times New Roman"/>
          <w:kern w:val="2"/>
          <w:sz w:val="30"/>
          <w:szCs w:val="30"/>
          <w:lang w:val="en-US" w:eastAsia="zh-CN" w:bidi="ar-SA"/>
        </w:rPr>
        <w:t>万元，</w:t>
      </w:r>
      <w:r>
        <w:rPr>
          <w:rFonts w:hint="eastAsia" w:cs="Times New Roman"/>
          <w:kern w:val="2"/>
          <w:sz w:val="30"/>
          <w:szCs w:val="30"/>
          <w:lang w:val="en-US" w:eastAsia="zh-CN" w:bidi="ar-SA"/>
        </w:rPr>
        <w:t>下降</w:t>
      </w:r>
      <w:r>
        <w:rPr>
          <w:rFonts w:hint="eastAsia" w:ascii="Times New Roman" w:hAnsi="Times New Roman" w:eastAsia="宋体" w:cs="Times New Roman"/>
          <w:kern w:val="2"/>
          <w:sz w:val="30"/>
          <w:szCs w:val="30"/>
          <w:lang w:val="en-US" w:eastAsia="zh-CN" w:bidi="ar-SA"/>
        </w:rPr>
        <w:t>了</w:t>
      </w:r>
      <w:r>
        <w:rPr>
          <w:rFonts w:hint="eastAsia" w:cs="Times New Roman"/>
          <w:kern w:val="2"/>
          <w:sz w:val="30"/>
          <w:szCs w:val="30"/>
          <w:lang w:val="en-US" w:eastAsia="zh-CN" w:bidi="ar-SA"/>
        </w:rPr>
        <w:t>0.16</w:t>
      </w:r>
      <w:r>
        <w:rPr>
          <w:rFonts w:hint="eastAsia" w:ascii="Times New Roman" w:hAnsi="Times New Roman" w:eastAsia="宋体" w:cs="Times New Roman"/>
          <w:kern w:val="2"/>
          <w:sz w:val="30"/>
          <w:szCs w:val="30"/>
          <w:lang w:val="en-US" w:eastAsia="zh-CN" w:bidi="ar-SA"/>
        </w:rPr>
        <w:t>%。主要变动</w:t>
      </w:r>
      <w:r>
        <w:rPr>
          <w:rFonts w:hint="eastAsia" w:cs="Times New Roman"/>
          <w:kern w:val="2"/>
          <w:sz w:val="30"/>
          <w:szCs w:val="30"/>
          <w:lang w:val="en-US" w:eastAsia="zh-CN" w:bidi="ar-SA"/>
        </w:rPr>
        <w:t>原因是</w:t>
      </w:r>
      <w:r>
        <w:rPr>
          <w:rFonts w:hint="eastAsia" w:ascii="Times New Roman" w:hAnsi="Times New Roman" w:eastAsia="宋体" w:cs="Times New Roman"/>
          <w:kern w:val="2"/>
          <w:sz w:val="30"/>
          <w:szCs w:val="30"/>
          <w:lang w:val="en-US" w:eastAsia="zh-CN" w:bidi="ar-SA"/>
        </w:rPr>
        <w:t>202</w:t>
      </w:r>
      <w:r>
        <w:rPr>
          <w:rFonts w:hint="eastAsia" w:cs="Times New Roman"/>
          <w:kern w:val="2"/>
          <w:sz w:val="30"/>
          <w:szCs w:val="30"/>
          <w:lang w:val="en-US" w:eastAsia="zh-CN" w:bidi="ar-SA"/>
        </w:rPr>
        <w:t>2</w:t>
      </w:r>
      <w:r>
        <w:rPr>
          <w:rFonts w:hint="eastAsia" w:ascii="Times New Roman" w:hAnsi="Times New Roman" w:eastAsia="宋体" w:cs="Times New Roman"/>
          <w:kern w:val="2"/>
          <w:sz w:val="30"/>
          <w:szCs w:val="30"/>
          <w:lang w:val="en-US" w:eastAsia="zh-CN" w:bidi="ar-SA"/>
        </w:rPr>
        <w:t>年财政资金</w:t>
      </w:r>
      <w:r>
        <w:rPr>
          <w:rFonts w:hint="eastAsia" w:cs="Times New Roman"/>
          <w:kern w:val="2"/>
          <w:sz w:val="30"/>
          <w:szCs w:val="30"/>
          <w:lang w:val="en-US" w:eastAsia="zh-CN" w:bidi="ar-SA"/>
        </w:rPr>
        <w:t>压减了公用经费开支</w:t>
      </w:r>
      <w:r>
        <w:rPr>
          <w:rFonts w:hint="eastAsia" w:ascii="Times New Roman" w:hAnsi="Times New Roman" w:eastAsia="宋体" w:cs="Times New Roman"/>
          <w:kern w:val="2"/>
          <w:sz w:val="30"/>
          <w:szCs w:val="30"/>
          <w:lang w:val="en-US" w:eastAsia="zh-CN" w:bidi="ar-SA"/>
        </w:rPr>
        <w:t>。</w:t>
      </w:r>
    </w:p>
    <w:p w14:paraId="47CF7927"/>
    <w:p w14:paraId="66B87DC8">
      <w:pPr>
        <w:rPr>
          <w:rFonts w:hint="eastAsia"/>
        </w:rPr>
      </w:pPr>
      <w:r>
        <w:rPr>
          <w:rFonts w:hint="eastAsia" w:ascii="Times New Roman" w:hAnsi="Times New Roman" w:eastAsia="宋体" w:cs="Times New Roman"/>
          <w:kern w:val="2"/>
          <w:sz w:val="21"/>
          <w:szCs w:val="24"/>
          <w:lang w:val="en-US" w:eastAsia="zh-CN" w:bidi="ar-SA"/>
        </w:rPr>
        <w:pict>
          <v:shape id="_x0000_i1030" o:spt="75" type="#_x0000_t75" style="height:242.25pt;width:415.3pt;" fillcolor="#FFFFFF" filled="f" o:preferrelative="t" stroked="f" coordsize="21600,21600">
            <v:path/>
            <v:fill on="f" color2="#FFFFFF" focussize="0,0"/>
            <v:stroke on="f"/>
            <v:imagedata r:id="rId9" gain="65536f" blacklevel="0f" gamma="0" o:title=""/>
            <o:lock v:ext="edit" position="f" selection="f" grouping="f" rotation="f" cropping="f" text="f" aspectratio="t"/>
            <w10:wrap type="none"/>
            <w10:anchorlock/>
          </v:shape>
        </w:pict>
      </w:r>
    </w:p>
    <w:p w14:paraId="4ED4DCB5">
      <w:pPr>
        <w:pStyle w:val="2"/>
      </w:pPr>
      <w:r>
        <w:rPr>
          <w:rFonts w:hint="default" w:ascii="Times New Roman" w:hAnsi="Times New Roman" w:eastAsia="仿宋" w:cs="Times New Roman"/>
          <w:color w:val="000000"/>
          <w:sz w:val="32"/>
          <w:szCs w:val="32"/>
        </w:rPr>
        <w:t>（图5：一般公共预算财政拨款支出决算变动情况）（柱状图）</w:t>
      </w:r>
    </w:p>
    <w:p w14:paraId="2A44A96B">
      <w:pPr>
        <w:pStyle w:val="15"/>
        <w:numPr>
          <w:ilvl w:val="0"/>
          <w:numId w:val="0"/>
        </w:numPr>
        <w:ind w:leftChars="0" w:firstLine="600" w:firstLineChars="200"/>
        <w:rPr>
          <w:rFonts w:hint="eastAsia" w:ascii="Times New Roman" w:hAnsi="Times New Roman" w:eastAsia="宋体"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（二）一般公共预算财政拨款支出决算结构情况</w:t>
      </w:r>
    </w:p>
    <w:p w14:paraId="4540ED06">
      <w:pPr>
        <w:pStyle w:val="15"/>
        <w:numPr>
          <w:ilvl w:val="0"/>
          <w:numId w:val="0"/>
        </w:numPr>
        <w:ind w:leftChars="0" w:firstLine="600" w:firstLineChars="200"/>
        <w:rPr>
          <w:rFonts w:hint="eastAsia" w:ascii="Times New Roman" w:hAnsi="Times New Roman" w:eastAsia="宋体"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202</w:t>
      </w:r>
      <w:r>
        <w:rPr>
          <w:rFonts w:hint="eastAsia" w:cs="Times New Roman"/>
          <w:kern w:val="2"/>
          <w:sz w:val="30"/>
          <w:szCs w:val="30"/>
          <w:lang w:val="en-US" w:eastAsia="zh-CN" w:bidi="ar-SA"/>
        </w:rPr>
        <w:t>2</w:t>
      </w:r>
      <w:r>
        <w:rPr>
          <w:rFonts w:hint="eastAsia" w:ascii="Times New Roman" w:hAnsi="Times New Roman" w:eastAsia="宋体" w:cs="Times New Roman"/>
          <w:kern w:val="2"/>
          <w:sz w:val="30"/>
          <w:szCs w:val="30"/>
          <w:lang w:val="en-US" w:eastAsia="zh-CN" w:bidi="ar-SA"/>
        </w:rPr>
        <w:t>年一般公共预算财政拨款支出351.</w:t>
      </w:r>
      <w:r>
        <w:rPr>
          <w:rFonts w:hint="eastAsia" w:cs="Times New Roman"/>
          <w:kern w:val="2"/>
          <w:sz w:val="30"/>
          <w:szCs w:val="30"/>
          <w:lang w:val="en-US" w:eastAsia="zh-CN" w:bidi="ar-SA"/>
        </w:rPr>
        <w:t>27</w:t>
      </w:r>
      <w:r>
        <w:rPr>
          <w:rFonts w:hint="eastAsia" w:ascii="Times New Roman" w:hAnsi="Times New Roman" w:eastAsia="宋体" w:cs="Times New Roman"/>
          <w:kern w:val="2"/>
          <w:sz w:val="30"/>
          <w:szCs w:val="30"/>
          <w:lang w:val="en-US" w:eastAsia="zh-CN" w:bidi="ar-SA"/>
        </w:rPr>
        <w:t>万元，主要用于以下方面：社会保障和就业支出</w:t>
      </w:r>
      <w:r>
        <w:rPr>
          <w:rFonts w:hint="eastAsia" w:cs="Times New Roman"/>
          <w:kern w:val="2"/>
          <w:sz w:val="30"/>
          <w:szCs w:val="30"/>
          <w:lang w:val="en-US" w:eastAsia="zh-CN" w:bidi="ar-SA"/>
        </w:rPr>
        <w:t>325.53</w:t>
      </w:r>
      <w:r>
        <w:rPr>
          <w:rFonts w:hint="eastAsia" w:ascii="Times New Roman" w:hAnsi="Times New Roman" w:eastAsia="宋体" w:cs="Times New Roman"/>
          <w:kern w:val="2"/>
          <w:sz w:val="30"/>
          <w:szCs w:val="30"/>
          <w:lang w:val="en-US" w:eastAsia="zh-CN" w:bidi="ar-SA"/>
        </w:rPr>
        <w:t>万元，占</w:t>
      </w:r>
      <w:r>
        <w:rPr>
          <w:rFonts w:hint="eastAsia" w:cs="Times New Roman"/>
          <w:kern w:val="2"/>
          <w:sz w:val="30"/>
          <w:szCs w:val="30"/>
          <w:lang w:val="en-US" w:eastAsia="zh-CN" w:bidi="ar-SA"/>
        </w:rPr>
        <w:t>92.68</w:t>
      </w:r>
      <w:r>
        <w:rPr>
          <w:rFonts w:hint="eastAsia" w:ascii="Times New Roman" w:hAnsi="Times New Roman" w:eastAsia="宋体" w:cs="Times New Roman"/>
          <w:kern w:val="2"/>
          <w:sz w:val="30"/>
          <w:szCs w:val="30"/>
          <w:lang w:val="en-US" w:eastAsia="zh-CN" w:bidi="ar-SA"/>
        </w:rPr>
        <w:t>%；医疗卫生支出7.</w:t>
      </w:r>
      <w:r>
        <w:rPr>
          <w:rFonts w:hint="eastAsia" w:cs="Times New Roman"/>
          <w:kern w:val="2"/>
          <w:sz w:val="30"/>
          <w:szCs w:val="30"/>
          <w:lang w:val="en-US" w:eastAsia="zh-CN" w:bidi="ar-SA"/>
        </w:rPr>
        <w:t>51</w:t>
      </w:r>
      <w:r>
        <w:rPr>
          <w:rFonts w:hint="eastAsia" w:ascii="Times New Roman" w:hAnsi="Times New Roman" w:eastAsia="宋体" w:cs="Times New Roman"/>
          <w:kern w:val="2"/>
          <w:sz w:val="30"/>
          <w:szCs w:val="30"/>
          <w:lang w:val="en-US" w:eastAsia="zh-CN" w:bidi="ar-SA"/>
        </w:rPr>
        <w:t>万元，占</w:t>
      </w:r>
      <w:r>
        <w:rPr>
          <w:rFonts w:hint="eastAsia" w:cs="Times New Roman"/>
          <w:kern w:val="2"/>
          <w:sz w:val="30"/>
          <w:szCs w:val="30"/>
          <w:lang w:val="en-US" w:eastAsia="zh-CN" w:bidi="ar-SA"/>
        </w:rPr>
        <w:t>2.14</w:t>
      </w:r>
      <w:r>
        <w:rPr>
          <w:rFonts w:hint="eastAsia" w:ascii="Times New Roman" w:hAnsi="Times New Roman" w:eastAsia="宋体" w:cs="Times New Roman"/>
          <w:kern w:val="2"/>
          <w:sz w:val="30"/>
          <w:szCs w:val="30"/>
          <w:lang w:val="en-US" w:eastAsia="zh-CN" w:bidi="ar-SA"/>
        </w:rPr>
        <w:t>%；住房保障支出</w:t>
      </w:r>
      <w:r>
        <w:rPr>
          <w:rFonts w:hint="eastAsia" w:cs="Times New Roman"/>
          <w:kern w:val="2"/>
          <w:sz w:val="30"/>
          <w:szCs w:val="30"/>
          <w:lang w:val="en-US" w:eastAsia="zh-CN" w:bidi="ar-SA"/>
        </w:rPr>
        <w:t>18.22</w:t>
      </w:r>
      <w:r>
        <w:rPr>
          <w:rFonts w:hint="eastAsia" w:ascii="Times New Roman" w:hAnsi="Times New Roman" w:eastAsia="宋体" w:cs="Times New Roman"/>
          <w:kern w:val="2"/>
          <w:sz w:val="30"/>
          <w:szCs w:val="30"/>
          <w:lang w:val="en-US" w:eastAsia="zh-CN" w:bidi="ar-SA"/>
        </w:rPr>
        <w:t>万元，占</w:t>
      </w:r>
      <w:r>
        <w:rPr>
          <w:rFonts w:hint="eastAsia" w:cs="Times New Roman"/>
          <w:kern w:val="2"/>
          <w:sz w:val="30"/>
          <w:szCs w:val="30"/>
          <w:lang w:val="en-US" w:eastAsia="zh-CN" w:bidi="ar-SA"/>
        </w:rPr>
        <w:t>5.18</w:t>
      </w:r>
      <w:r>
        <w:rPr>
          <w:rFonts w:hint="eastAsia" w:ascii="Times New Roman" w:hAnsi="Times New Roman" w:eastAsia="宋体" w:cs="Times New Roman"/>
          <w:kern w:val="2"/>
          <w:sz w:val="30"/>
          <w:szCs w:val="30"/>
          <w:lang w:val="en-US" w:eastAsia="zh-CN" w:bidi="ar-SA"/>
        </w:rPr>
        <w:t>%。</w:t>
      </w:r>
    </w:p>
    <w:p w14:paraId="05F1F59A"/>
    <w:p w14:paraId="33B68334">
      <w:r>
        <w:rPr>
          <w:rFonts w:ascii="Times New Roman" w:hAnsi="Times New Roman" w:eastAsia="宋体" w:cs="Times New Roman"/>
          <w:kern w:val="2"/>
          <w:sz w:val="21"/>
          <w:szCs w:val="24"/>
          <w:lang w:val="en-US" w:eastAsia="zh-CN" w:bidi="ar-SA"/>
        </w:rPr>
        <w:pict>
          <v:shape id="图表 8" o:spid="_x0000_s1031" style="height:242.25pt;width:415.3pt;" fillcolor="#FFFFFF" filled="t" o:preferrelative="t" stroked="t" coordsize="21600,21600">
            <v:fill on="t" focussize="0,0"/>
            <v:stroke color="#000000" color2="#FFFFFF" miterlimit="2"/>
            <v:imagedata gain="65536f" blacklevel="0f" gamma="0" o:title=""/>
            <o:lock v:ext="edit" position="f" selection="f" grouping="f" rotation="f" cropping="f" text="f" aspectratio="f"/>
            <w10:wrap type="none"/>
            <w10:anchorlock/>
          </v:shape>
        </w:pict>
      </w:r>
    </w:p>
    <w:p w14:paraId="743CCF02">
      <w:pPr>
        <w:pStyle w:val="2"/>
      </w:pPr>
      <w:r>
        <w:rPr>
          <w:rFonts w:hint="default" w:ascii="Times New Roman" w:hAnsi="Times New Roman" w:eastAsia="仿宋" w:cs="Times New Roman"/>
          <w:color w:val="000000"/>
          <w:sz w:val="32"/>
          <w:szCs w:val="32"/>
        </w:rPr>
        <w:t>（图6：一般公共预算财政拨款支出决算结构）（饼状图）</w:t>
      </w:r>
    </w:p>
    <w:p w14:paraId="1FD77EA3">
      <w:pPr>
        <w:pStyle w:val="15"/>
        <w:numPr>
          <w:ilvl w:val="0"/>
          <w:numId w:val="0"/>
        </w:numPr>
        <w:ind w:leftChars="0" w:firstLine="600" w:firstLineChars="200"/>
        <w:rPr>
          <w:rFonts w:hint="eastAsia" w:ascii="Times New Roman" w:hAnsi="Times New Roman" w:eastAsia="宋体"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（三）一般公共预算财政拨款支出决算具体情况</w:t>
      </w:r>
    </w:p>
    <w:p w14:paraId="32C333AA">
      <w:pPr>
        <w:pStyle w:val="15"/>
        <w:numPr>
          <w:ilvl w:val="0"/>
          <w:numId w:val="0"/>
        </w:numPr>
        <w:ind w:leftChars="0" w:firstLine="600" w:firstLineChars="200"/>
        <w:rPr>
          <w:rFonts w:hint="eastAsia" w:ascii="Times New Roman" w:hAnsi="Times New Roman" w:eastAsia="宋体"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202</w:t>
      </w:r>
      <w:r>
        <w:rPr>
          <w:rFonts w:hint="eastAsia" w:cs="Times New Roman"/>
          <w:kern w:val="2"/>
          <w:sz w:val="30"/>
          <w:szCs w:val="30"/>
          <w:lang w:val="en-US" w:eastAsia="zh-CN" w:bidi="ar-SA"/>
        </w:rPr>
        <w:t>2</w:t>
      </w:r>
      <w:r>
        <w:rPr>
          <w:rFonts w:hint="eastAsia" w:ascii="Times New Roman" w:hAnsi="Times New Roman" w:eastAsia="宋体" w:cs="Times New Roman"/>
          <w:kern w:val="2"/>
          <w:sz w:val="30"/>
          <w:szCs w:val="30"/>
          <w:lang w:val="en-US" w:eastAsia="zh-CN" w:bidi="ar-SA"/>
        </w:rPr>
        <w:t>年一般公共预算支出决算数为351.</w:t>
      </w:r>
      <w:r>
        <w:rPr>
          <w:rFonts w:hint="eastAsia" w:cs="Times New Roman"/>
          <w:kern w:val="2"/>
          <w:sz w:val="30"/>
          <w:szCs w:val="30"/>
          <w:lang w:val="en-US" w:eastAsia="zh-CN" w:bidi="ar-SA"/>
        </w:rPr>
        <w:t>27</w:t>
      </w:r>
      <w:r>
        <w:rPr>
          <w:rFonts w:hint="eastAsia" w:ascii="Times New Roman" w:hAnsi="Times New Roman" w:eastAsia="宋体" w:cs="Times New Roman"/>
          <w:kern w:val="2"/>
          <w:sz w:val="30"/>
          <w:szCs w:val="30"/>
          <w:lang w:val="en-US" w:eastAsia="zh-CN" w:bidi="ar-SA"/>
        </w:rPr>
        <w:t>万元，完成预算100%。其中：</w:t>
      </w:r>
    </w:p>
    <w:p w14:paraId="0C5BB2FF">
      <w:pPr>
        <w:pStyle w:val="15"/>
        <w:numPr>
          <w:ilvl w:val="0"/>
          <w:numId w:val="4"/>
        </w:numPr>
        <w:ind w:leftChars="0" w:firstLine="600" w:firstLineChars="200"/>
        <w:rPr>
          <w:rFonts w:hint="eastAsia"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社会保障和就业</w:t>
      </w:r>
      <w:r>
        <w:rPr>
          <w:rFonts w:hint="eastAsia" w:cs="Times New Roman"/>
          <w:kern w:val="2"/>
          <w:sz w:val="30"/>
          <w:szCs w:val="30"/>
          <w:lang w:val="en-US" w:eastAsia="zh-CN" w:bidi="ar-SA"/>
        </w:rPr>
        <w:t>支出</w:t>
      </w:r>
      <w:r>
        <w:rPr>
          <w:rFonts w:hint="eastAsia" w:ascii="Times New Roman" w:hAnsi="Times New Roman" w:eastAsia="宋体" w:cs="Times New Roman"/>
          <w:kern w:val="2"/>
          <w:sz w:val="30"/>
          <w:szCs w:val="30"/>
          <w:lang w:val="en-US" w:eastAsia="zh-CN" w:bidi="ar-SA"/>
        </w:rPr>
        <w:t>（类）民政管理事务（款）其他民政管理事务支出（项）</w:t>
      </w:r>
      <w:r>
        <w:rPr>
          <w:rFonts w:hint="eastAsia" w:cs="Times New Roman"/>
          <w:kern w:val="2"/>
          <w:sz w:val="30"/>
          <w:szCs w:val="30"/>
          <w:lang w:val="en-US" w:eastAsia="zh-CN" w:bidi="ar-SA"/>
        </w:rPr>
        <w:t>：</w:t>
      </w:r>
      <w:r>
        <w:rPr>
          <w:rFonts w:hint="eastAsia" w:ascii="Times New Roman" w:hAnsi="Times New Roman" w:eastAsia="宋体" w:cs="Times New Roman"/>
          <w:kern w:val="2"/>
          <w:sz w:val="30"/>
          <w:szCs w:val="30"/>
          <w:lang w:val="en-US" w:eastAsia="zh-CN" w:bidi="ar-SA"/>
        </w:rPr>
        <w:t>支出决算为</w:t>
      </w:r>
      <w:r>
        <w:rPr>
          <w:rFonts w:hint="eastAsia" w:cs="Times New Roman"/>
          <w:kern w:val="2"/>
          <w:sz w:val="30"/>
          <w:szCs w:val="30"/>
          <w:lang w:val="en-US" w:eastAsia="zh-CN" w:bidi="ar-SA"/>
        </w:rPr>
        <w:t>5.63</w:t>
      </w:r>
      <w:r>
        <w:rPr>
          <w:rFonts w:hint="eastAsia" w:ascii="Times New Roman" w:hAnsi="Times New Roman" w:eastAsia="宋体" w:cs="Times New Roman"/>
          <w:kern w:val="2"/>
          <w:sz w:val="30"/>
          <w:szCs w:val="30"/>
          <w:lang w:val="en-US" w:eastAsia="zh-CN" w:bidi="ar-SA"/>
        </w:rPr>
        <w:t>万元，完成预算的100%</w:t>
      </w:r>
      <w:r>
        <w:rPr>
          <w:rFonts w:hint="eastAsia" w:ascii="Times New Roman" w:hAnsi="Times New Roman" w:cs="Times New Roman"/>
          <w:kern w:val="2"/>
          <w:sz w:val="30"/>
          <w:szCs w:val="30"/>
          <w:lang w:val="en-US" w:eastAsia="zh-CN" w:bidi="ar-SA"/>
        </w:rPr>
        <w:t>。</w:t>
      </w:r>
    </w:p>
    <w:p w14:paraId="532D8E3B">
      <w:pPr>
        <w:pStyle w:val="15"/>
        <w:numPr>
          <w:ilvl w:val="0"/>
          <w:numId w:val="4"/>
        </w:numPr>
        <w:ind w:leftChars="0" w:firstLine="600" w:firstLineChars="200"/>
        <w:rPr>
          <w:rFonts w:hint="eastAsia"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社会保障和就业</w:t>
      </w:r>
      <w:r>
        <w:rPr>
          <w:rFonts w:hint="eastAsia" w:cs="Times New Roman"/>
          <w:kern w:val="2"/>
          <w:sz w:val="30"/>
          <w:szCs w:val="30"/>
          <w:lang w:val="en-US" w:eastAsia="zh-CN" w:bidi="ar-SA"/>
        </w:rPr>
        <w:t>支出</w:t>
      </w:r>
      <w:r>
        <w:rPr>
          <w:rFonts w:hint="eastAsia" w:ascii="Times New Roman" w:hAnsi="Times New Roman" w:eastAsia="宋体" w:cs="Times New Roman"/>
          <w:kern w:val="2"/>
          <w:sz w:val="30"/>
          <w:szCs w:val="30"/>
          <w:lang w:val="en-US" w:eastAsia="zh-CN" w:bidi="ar-SA"/>
        </w:rPr>
        <w:t>（类）行政事业单位养老支出（款）机关事业单位基本养老保险缴费支出</w:t>
      </w:r>
      <w:r>
        <w:rPr>
          <w:rFonts w:hint="eastAsia" w:cs="Times New Roman"/>
          <w:kern w:val="2"/>
          <w:sz w:val="30"/>
          <w:szCs w:val="30"/>
          <w:lang w:val="en-US" w:eastAsia="zh-CN" w:bidi="ar-SA"/>
        </w:rPr>
        <w:t>（项）：支出</w:t>
      </w:r>
      <w:r>
        <w:rPr>
          <w:rFonts w:hint="eastAsia" w:ascii="Times New Roman" w:hAnsi="Times New Roman" w:eastAsia="宋体" w:cs="Times New Roman"/>
          <w:kern w:val="2"/>
          <w:sz w:val="30"/>
          <w:szCs w:val="30"/>
          <w:lang w:val="en-US" w:eastAsia="zh-CN" w:bidi="ar-SA"/>
        </w:rPr>
        <w:t>决算为</w:t>
      </w:r>
      <w:r>
        <w:rPr>
          <w:rFonts w:hint="eastAsia" w:cs="Times New Roman"/>
          <w:kern w:val="2"/>
          <w:sz w:val="30"/>
          <w:szCs w:val="30"/>
          <w:lang w:val="en-US" w:eastAsia="zh-CN" w:bidi="ar-SA"/>
        </w:rPr>
        <w:t>17.28</w:t>
      </w:r>
      <w:r>
        <w:rPr>
          <w:rFonts w:hint="eastAsia" w:ascii="Times New Roman" w:hAnsi="Times New Roman" w:eastAsia="宋体" w:cs="Times New Roman"/>
          <w:kern w:val="2"/>
          <w:sz w:val="30"/>
          <w:szCs w:val="30"/>
          <w:lang w:val="en-US" w:eastAsia="zh-CN" w:bidi="ar-SA"/>
        </w:rPr>
        <w:t>万元，完成预算的100%</w:t>
      </w:r>
      <w:r>
        <w:rPr>
          <w:rFonts w:hint="eastAsia" w:cs="Times New Roman"/>
          <w:kern w:val="2"/>
          <w:sz w:val="30"/>
          <w:szCs w:val="30"/>
          <w:lang w:val="en-US" w:eastAsia="zh-CN" w:bidi="ar-SA"/>
        </w:rPr>
        <w:t>。</w:t>
      </w:r>
    </w:p>
    <w:p w14:paraId="3EE58F91">
      <w:pPr>
        <w:pStyle w:val="15"/>
        <w:numPr>
          <w:ilvl w:val="0"/>
          <w:numId w:val="4"/>
        </w:numPr>
        <w:ind w:leftChars="0" w:firstLine="600" w:firstLineChars="200"/>
        <w:rPr>
          <w:rFonts w:hint="eastAsia" w:ascii="Times New Roman" w:hAnsi="Times New Roman" w:eastAsia="宋体"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社会保障和就业</w:t>
      </w:r>
      <w:r>
        <w:rPr>
          <w:rFonts w:hint="eastAsia" w:cs="Times New Roman"/>
          <w:kern w:val="2"/>
          <w:sz w:val="30"/>
          <w:szCs w:val="30"/>
          <w:lang w:val="en-US" w:eastAsia="zh-CN" w:bidi="ar-SA"/>
        </w:rPr>
        <w:t>支出</w:t>
      </w:r>
      <w:r>
        <w:rPr>
          <w:rFonts w:hint="eastAsia" w:ascii="Times New Roman" w:hAnsi="Times New Roman" w:eastAsia="宋体" w:cs="Times New Roman"/>
          <w:kern w:val="2"/>
          <w:sz w:val="30"/>
          <w:szCs w:val="30"/>
          <w:lang w:val="en-US" w:eastAsia="zh-CN" w:bidi="ar-SA"/>
        </w:rPr>
        <w:t>（类）行政事业单位养老支出（款）机关事业单位职业年金缴费支出</w:t>
      </w:r>
      <w:r>
        <w:rPr>
          <w:rFonts w:hint="eastAsia" w:cs="Times New Roman"/>
          <w:kern w:val="2"/>
          <w:sz w:val="30"/>
          <w:szCs w:val="30"/>
          <w:lang w:val="en-US" w:eastAsia="zh-CN" w:bidi="ar-SA"/>
        </w:rPr>
        <w:t>（项）：支出</w:t>
      </w:r>
      <w:r>
        <w:rPr>
          <w:rFonts w:hint="eastAsia" w:ascii="Times New Roman" w:hAnsi="Times New Roman" w:eastAsia="宋体" w:cs="Times New Roman"/>
          <w:kern w:val="2"/>
          <w:sz w:val="30"/>
          <w:szCs w:val="30"/>
          <w:lang w:val="en-US" w:eastAsia="zh-CN" w:bidi="ar-SA"/>
        </w:rPr>
        <w:t>决算为</w:t>
      </w:r>
      <w:r>
        <w:rPr>
          <w:rFonts w:hint="eastAsia" w:cs="Times New Roman"/>
          <w:kern w:val="2"/>
          <w:sz w:val="30"/>
          <w:szCs w:val="30"/>
          <w:lang w:val="en-US" w:eastAsia="zh-CN" w:bidi="ar-SA"/>
        </w:rPr>
        <w:t>6.98</w:t>
      </w:r>
      <w:r>
        <w:rPr>
          <w:rFonts w:hint="eastAsia" w:ascii="Times New Roman" w:hAnsi="Times New Roman" w:eastAsia="宋体" w:cs="Times New Roman"/>
          <w:kern w:val="2"/>
          <w:sz w:val="30"/>
          <w:szCs w:val="30"/>
          <w:lang w:val="en-US" w:eastAsia="zh-CN" w:bidi="ar-SA"/>
        </w:rPr>
        <w:t>万元，完成预算100%</w:t>
      </w:r>
      <w:r>
        <w:rPr>
          <w:rFonts w:hint="eastAsia" w:cs="Times New Roman"/>
          <w:kern w:val="2"/>
          <w:sz w:val="30"/>
          <w:szCs w:val="30"/>
          <w:lang w:val="en-US" w:eastAsia="zh-CN" w:bidi="ar-SA"/>
        </w:rPr>
        <w:t>。</w:t>
      </w:r>
    </w:p>
    <w:p w14:paraId="077C7DD9">
      <w:pPr>
        <w:pStyle w:val="15"/>
        <w:numPr>
          <w:ilvl w:val="0"/>
          <w:numId w:val="4"/>
        </w:numPr>
        <w:ind w:leftChars="0" w:firstLine="600" w:firstLineChars="200"/>
        <w:rPr>
          <w:rFonts w:hint="eastAsia" w:ascii="Times New Roman" w:hAnsi="Times New Roman" w:eastAsia="宋体"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社会保障和就业</w:t>
      </w:r>
      <w:r>
        <w:rPr>
          <w:rFonts w:hint="eastAsia" w:cs="Times New Roman"/>
          <w:kern w:val="2"/>
          <w:sz w:val="30"/>
          <w:szCs w:val="30"/>
          <w:lang w:val="en-US" w:eastAsia="zh-CN" w:bidi="ar-SA"/>
        </w:rPr>
        <w:t>支出</w:t>
      </w:r>
      <w:r>
        <w:rPr>
          <w:rFonts w:hint="eastAsia" w:ascii="Times New Roman" w:hAnsi="Times New Roman" w:eastAsia="宋体" w:cs="Times New Roman"/>
          <w:kern w:val="2"/>
          <w:sz w:val="30"/>
          <w:szCs w:val="30"/>
          <w:lang w:val="en-US" w:eastAsia="zh-CN" w:bidi="ar-SA"/>
        </w:rPr>
        <w:t>（类）社会福利（款）社会福利事业单位（项）</w:t>
      </w:r>
      <w:r>
        <w:rPr>
          <w:rFonts w:hint="eastAsia" w:cs="Times New Roman"/>
          <w:kern w:val="2"/>
          <w:sz w:val="30"/>
          <w:szCs w:val="30"/>
          <w:lang w:val="en-US" w:eastAsia="zh-CN" w:bidi="ar-SA"/>
        </w:rPr>
        <w:t>：</w:t>
      </w:r>
      <w:r>
        <w:rPr>
          <w:rFonts w:hint="eastAsia" w:ascii="Times New Roman" w:hAnsi="Times New Roman" w:eastAsia="宋体" w:cs="Times New Roman"/>
          <w:kern w:val="2"/>
          <w:sz w:val="30"/>
          <w:szCs w:val="30"/>
          <w:lang w:val="en-US" w:eastAsia="zh-CN" w:bidi="ar-SA"/>
        </w:rPr>
        <w:t>支出决算为</w:t>
      </w:r>
      <w:r>
        <w:rPr>
          <w:rFonts w:hint="eastAsia" w:cs="Times New Roman"/>
          <w:kern w:val="2"/>
          <w:sz w:val="30"/>
          <w:szCs w:val="30"/>
          <w:lang w:val="en-US" w:eastAsia="zh-CN" w:bidi="ar-SA"/>
        </w:rPr>
        <w:t>174.03</w:t>
      </w:r>
      <w:r>
        <w:rPr>
          <w:rFonts w:hint="eastAsia" w:ascii="Times New Roman" w:hAnsi="Times New Roman" w:eastAsia="宋体" w:cs="Times New Roman"/>
          <w:kern w:val="2"/>
          <w:sz w:val="30"/>
          <w:szCs w:val="30"/>
          <w:lang w:val="en-US" w:eastAsia="zh-CN" w:bidi="ar-SA"/>
        </w:rPr>
        <w:t>万元，完成预算的100%。</w:t>
      </w:r>
    </w:p>
    <w:p w14:paraId="4938967A">
      <w:pPr>
        <w:pStyle w:val="15"/>
        <w:numPr>
          <w:ilvl w:val="0"/>
          <w:numId w:val="4"/>
        </w:numPr>
        <w:ind w:leftChars="0" w:firstLine="600" w:firstLineChars="200"/>
        <w:rPr>
          <w:rFonts w:hint="eastAsia"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社会保障和就业</w:t>
      </w:r>
      <w:r>
        <w:rPr>
          <w:rFonts w:hint="eastAsia" w:cs="Times New Roman"/>
          <w:kern w:val="2"/>
          <w:sz w:val="30"/>
          <w:szCs w:val="30"/>
          <w:lang w:val="en-US" w:eastAsia="zh-CN" w:bidi="ar-SA"/>
        </w:rPr>
        <w:t>支出</w:t>
      </w:r>
      <w:r>
        <w:rPr>
          <w:rFonts w:hint="eastAsia" w:ascii="Times New Roman" w:hAnsi="Times New Roman" w:eastAsia="宋体" w:cs="Times New Roman"/>
          <w:kern w:val="2"/>
          <w:sz w:val="30"/>
          <w:szCs w:val="30"/>
          <w:lang w:val="en-US" w:eastAsia="zh-CN" w:bidi="ar-SA"/>
        </w:rPr>
        <w:t>（类）临时救助（款）流浪乞讨人员救助支出</w:t>
      </w:r>
      <w:r>
        <w:rPr>
          <w:rFonts w:hint="eastAsia" w:cs="Times New Roman"/>
          <w:kern w:val="2"/>
          <w:sz w:val="30"/>
          <w:szCs w:val="30"/>
          <w:lang w:val="en-US" w:eastAsia="zh-CN" w:bidi="ar-SA"/>
        </w:rPr>
        <w:t>（项）：支出</w:t>
      </w:r>
      <w:r>
        <w:rPr>
          <w:rFonts w:hint="eastAsia" w:ascii="Times New Roman" w:hAnsi="Times New Roman" w:eastAsia="宋体" w:cs="Times New Roman"/>
          <w:kern w:val="2"/>
          <w:sz w:val="30"/>
          <w:szCs w:val="30"/>
          <w:lang w:val="en-US" w:eastAsia="zh-CN" w:bidi="ar-SA"/>
        </w:rPr>
        <w:t>决算为</w:t>
      </w:r>
      <w:r>
        <w:rPr>
          <w:rFonts w:hint="eastAsia" w:cs="Times New Roman"/>
          <w:kern w:val="2"/>
          <w:sz w:val="30"/>
          <w:szCs w:val="30"/>
          <w:lang w:val="en-US" w:eastAsia="zh-CN" w:bidi="ar-SA"/>
        </w:rPr>
        <w:t>121.19</w:t>
      </w:r>
      <w:r>
        <w:rPr>
          <w:rFonts w:hint="eastAsia" w:ascii="Times New Roman" w:hAnsi="Times New Roman" w:eastAsia="宋体" w:cs="Times New Roman"/>
          <w:kern w:val="2"/>
          <w:sz w:val="30"/>
          <w:szCs w:val="30"/>
          <w:lang w:val="en-US" w:eastAsia="zh-CN" w:bidi="ar-SA"/>
        </w:rPr>
        <w:t>万元，完成预算的100%。</w:t>
      </w:r>
    </w:p>
    <w:p w14:paraId="527FE5E3">
      <w:pPr>
        <w:pStyle w:val="15"/>
        <w:numPr>
          <w:ilvl w:val="0"/>
          <w:numId w:val="4"/>
        </w:numPr>
        <w:ind w:leftChars="0" w:firstLine="600" w:firstLineChars="200"/>
        <w:rPr>
          <w:rFonts w:hint="eastAsia" w:ascii="Times New Roman" w:hAnsi="Times New Roman" w:eastAsia="宋体"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社会保障和就业</w:t>
      </w:r>
      <w:r>
        <w:rPr>
          <w:rFonts w:hint="eastAsia" w:cs="Times New Roman"/>
          <w:kern w:val="2"/>
          <w:sz w:val="30"/>
          <w:szCs w:val="30"/>
          <w:lang w:val="en-US" w:eastAsia="zh-CN" w:bidi="ar-SA"/>
        </w:rPr>
        <w:t>支出</w:t>
      </w:r>
      <w:r>
        <w:rPr>
          <w:rFonts w:hint="eastAsia" w:ascii="Times New Roman" w:hAnsi="Times New Roman" w:eastAsia="宋体" w:cs="Times New Roman"/>
          <w:kern w:val="2"/>
          <w:sz w:val="30"/>
          <w:szCs w:val="30"/>
          <w:lang w:val="en-US" w:eastAsia="zh-CN" w:bidi="ar-SA"/>
        </w:rPr>
        <w:t>（类）其他社会保障和就业支出（款）其他社会保障和就业支出</w:t>
      </w:r>
      <w:r>
        <w:rPr>
          <w:rFonts w:hint="eastAsia" w:cs="Times New Roman"/>
          <w:kern w:val="2"/>
          <w:sz w:val="30"/>
          <w:szCs w:val="30"/>
          <w:lang w:val="en-US" w:eastAsia="zh-CN" w:bidi="ar-SA"/>
        </w:rPr>
        <w:t>（项）：支出</w:t>
      </w:r>
      <w:r>
        <w:rPr>
          <w:rFonts w:hint="eastAsia" w:ascii="Times New Roman" w:hAnsi="Times New Roman" w:eastAsia="宋体" w:cs="Times New Roman"/>
          <w:kern w:val="2"/>
          <w:sz w:val="30"/>
          <w:szCs w:val="30"/>
          <w:lang w:val="en-US" w:eastAsia="zh-CN" w:bidi="ar-SA"/>
        </w:rPr>
        <w:t>决算为</w:t>
      </w:r>
      <w:r>
        <w:rPr>
          <w:rFonts w:hint="eastAsia" w:cs="Times New Roman"/>
          <w:kern w:val="2"/>
          <w:sz w:val="30"/>
          <w:szCs w:val="30"/>
          <w:lang w:val="en-US" w:eastAsia="zh-CN" w:bidi="ar-SA"/>
        </w:rPr>
        <w:t>0.43</w:t>
      </w:r>
      <w:r>
        <w:rPr>
          <w:rFonts w:hint="eastAsia" w:ascii="Times New Roman" w:hAnsi="Times New Roman" w:eastAsia="宋体" w:cs="Times New Roman"/>
          <w:kern w:val="2"/>
          <w:sz w:val="30"/>
          <w:szCs w:val="30"/>
          <w:lang w:val="en-US" w:eastAsia="zh-CN" w:bidi="ar-SA"/>
        </w:rPr>
        <w:t>万元，完成预算的100%。</w:t>
      </w:r>
    </w:p>
    <w:p w14:paraId="0143EB00">
      <w:pPr>
        <w:pStyle w:val="15"/>
        <w:numPr>
          <w:ilvl w:val="0"/>
          <w:numId w:val="4"/>
        </w:numPr>
        <w:ind w:leftChars="0" w:firstLine="600" w:firstLineChars="200"/>
        <w:rPr>
          <w:rFonts w:hint="eastAsia" w:ascii="Times New Roman" w:hAnsi="Times New Roman" w:eastAsia="宋体"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卫生健康支出</w:t>
      </w:r>
      <w:r>
        <w:rPr>
          <w:rFonts w:hint="eastAsia" w:cs="Times New Roman"/>
          <w:kern w:val="2"/>
          <w:sz w:val="30"/>
          <w:szCs w:val="30"/>
          <w:lang w:val="en-US" w:eastAsia="zh-CN" w:bidi="ar-SA"/>
        </w:rPr>
        <w:t>（类）</w:t>
      </w:r>
      <w:r>
        <w:rPr>
          <w:rFonts w:hint="eastAsia" w:ascii="Times New Roman" w:hAnsi="Times New Roman" w:eastAsia="宋体" w:cs="Times New Roman"/>
          <w:kern w:val="2"/>
          <w:sz w:val="30"/>
          <w:szCs w:val="30"/>
          <w:lang w:val="en-US" w:eastAsia="zh-CN" w:bidi="ar-SA"/>
        </w:rPr>
        <w:t>行政事业单位医疗（款）事业单位医疗（项）：支出决算为</w:t>
      </w:r>
      <w:r>
        <w:rPr>
          <w:rFonts w:hint="eastAsia" w:cs="Times New Roman"/>
          <w:kern w:val="2"/>
          <w:sz w:val="30"/>
          <w:szCs w:val="30"/>
          <w:lang w:val="en-US" w:eastAsia="zh-CN" w:bidi="ar-SA"/>
        </w:rPr>
        <w:t>7.51</w:t>
      </w:r>
      <w:r>
        <w:rPr>
          <w:rFonts w:hint="eastAsia" w:ascii="Times New Roman" w:hAnsi="Times New Roman" w:eastAsia="宋体" w:cs="Times New Roman"/>
          <w:kern w:val="2"/>
          <w:sz w:val="30"/>
          <w:szCs w:val="30"/>
          <w:lang w:val="en-US" w:eastAsia="zh-CN" w:bidi="ar-SA"/>
        </w:rPr>
        <w:t>万元，完成预算100%。</w:t>
      </w:r>
    </w:p>
    <w:p w14:paraId="38EBCBD9">
      <w:pPr>
        <w:pStyle w:val="15"/>
        <w:numPr>
          <w:ilvl w:val="0"/>
          <w:numId w:val="4"/>
        </w:numPr>
        <w:ind w:leftChars="0" w:firstLine="600" w:firstLineChars="200"/>
        <w:rPr>
          <w:rFonts w:hint="eastAsia" w:ascii="Times New Roman" w:hAnsi="Times New Roman" w:eastAsia="宋体"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住房保障支出（类）住房改革支出（款）住房公积金（项）支出决算为</w:t>
      </w:r>
      <w:r>
        <w:rPr>
          <w:rFonts w:hint="eastAsia" w:cs="Times New Roman"/>
          <w:kern w:val="2"/>
          <w:sz w:val="30"/>
          <w:szCs w:val="30"/>
          <w:lang w:val="en-US" w:eastAsia="zh-CN" w:bidi="ar-SA"/>
        </w:rPr>
        <w:t>18.22</w:t>
      </w:r>
      <w:r>
        <w:rPr>
          <w:rFonts w:hint="eastAsia" w:ascii="Times New Roman" w:hAnsi="Times New Roman" w:eastAsia="宋体" w:cs="Times New Roman"/>
          <w:kern w:val="2"/>
          <w:sz w:val="30"/>
          <w:szCs w:val="30"/>
          <w:lang w:val="en-US" w:eastAsia="zh-CN" w:bidi="ar-SA"/>
        </w:rPr>
        <w:t>万元，完成预算的100%。</w:t>
      </w:r>
    </w:p>
    <w:p w14:paraId="615F0965">
      <w:pPr>
        <w:rPr>
          <w:rFonts w:hint="eastAsia" w:ascii="Times New Roman" w:hAnsi="Times New Roman" w:eastAsia="宋体" w:cs="Times New Roman"/>
          <w:b/>
          <w:bCs/>
          <w:kern w:val="2"/>
          <w:sz w:val="32"/>
          <w:szCs w:val="32"/>
          <w:lang w:val="en-US" w:eastAsia="zh-CN" w:bidi="ar-SA"/>
        </w:rPr>
      </w:pPr>
      <w:r>
        <w:rPr>
          <w:rFonts w:hint="eastAsia" w:ascii="Times New Roman" w:hAnsi="Times New Roman" w:eastAsia="宋体" w:cs="Times New Roman"/>
          <w:b/>
          <w:bCs/>
          <w:kern w:val="2"/>
          <w:sz w:val="32"/>
          <w:szCs w:val="32"/>
          <w:lang w:val="en-US" w:eastAsia="zh-CN" w:bidi="ar-SA"/>
        </w:rPr>
        <w:t>六、一般公共预算财政拨款基本支出决算情况说明</w:t>
      </w:r>
    </w:p>
    <w:p w14:paraId="77233381">
      <w:pPr>
        <w:ind w:firstLine="600" w:firstLineChars="200"/>
        <w:rPr>
          <w:rFonts w:hint="eastAsia" w:ascii="Times New Roman" w:hAnsi="Times New Roman" w:eastAsia="宋体"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202</w:t>
      </w:r>
      <w:r>
        <w:rPr>
          <w:rFonts w:hint="eastAsia" w:cs="Times New Roman"/>
          <w:kern w:val="2"/>
          <w:sz w:val="30"/>
          <w:szCs w:val="30"/>
          <w:lang w:val="en-US" w:eastAsia="zh-CN" w:bidi="ar-SA"/>
        </w:rPr>
        <w:t>2</w:t>
      </w:r>
      <w:r>
        <w:rPr>
          <w:rFonts w:hint="eastAsia" w:ascii="Times New Roman" w:hAnsi="Times New Roman" w:eastAsia="宋体" w:cs="Times New Roman"/>
          <w:kern w:val="2"/>
          <w:sz w:val="30"/>
          <w:szCs w:val="30"/>
          <w:lang w:val="en-US" w:eastAsia="zh-CN" w:bidi="ar-SA"/>
        </w:rPr>
        <w:t>年一般公共预算财政拨款基本支出</w:t>
      </w:r>
      <w:r>
        <w:rPr>
          <w:rFonts w:hint="eastAsia" w:cs="Times New Roman"/>
          <w:kern w:val="2"/>
          <w:sz w:val="30"/>
          <w:szCs w:val="30"/>
          <w:lang w:val="en-US" w:eastAsia="zh-CN" w:bidi="ar-SA"/>
        </w:rPr>
        <w:t>230.07</w:t>
      </w:r>
      <w:r>
        <w:rPr>
          <w:rFonts w:hint="eastAsia" w:ascii="Times New Roman" w:hAnsi="Times New Roman" w:eastAsia="宋体" w:cs="Times New Roman"/>
          <w:kern w:val="2"/>
          <w:sz w:val="30"/>
          <w:szCs w:val="30"/>
          <w:lang w:val="en-US" w:eastAsia="zh-CN" w:bidi="ar-SA"/>
        </w:rPr>
        <w:t>万元，其中：</w:t>
      </w:r>
    </w:p>
    <w:p w14:paraId="30A4EB46">
      <w:pPr>
        <w:ind w:firstLine="600" w:firstLineChars="200"/>
        <w:rPr>
          <w:rFonts w:hint="eastAsia" w:ascii="Times New Roman" w:hAnsi="Times New Roman" w:eastAsia="宋体"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人员经费</w:t>
      </w:r>
      <w:r>
        <w:rPr>
          <w:rFonts w:hint="eastAsia" w:cs="Times New Roman"/>
          <w:kern w:val="2"/>
          <w:sz w:val="30"/>
          <w:szCs w:val="30"/>
          <w:lang w:val="en-US" w:eastAsia="zh-CN" w:bidi="ar-SA"/>
        </w:rPr>
        <w:t>210.41</w:t>
      </w:r>
      <w:r>
        <w:rPr>
          <w:rFonts w:hint="eastAsia" w:ascii="Times New Roman" w:hAnsi="Times New Roman" w:eastAsia="宋体" w:cs="Times New Roman"/>
          <w:kern w:val="2"/>
          <w:sz w:val="30"/>
          <w:szCs w:val="30"/>
          <w:lang w:val="en-US" w:eastAsia="zh-CN" w:bidi="ar-SA"/>
        </w:rPr>
        <w:t>万元，主要包括：基本工资、津贴补贴、绩效工资、机关事业单位基本养老保险缴费、职业年金缴费、职工基本医疗保险缴费、其他社会保障缴费</w:t>
      </w:r>
      <w:r>
        <w:rPr>
          <w:rFonts w:hint="eastAsia" w:cs="Times New Roman"/>
          <w:kern w:val="2"/>
          <w:sz w:val="30"/>
          <w:szCs w:val="30"/>
          <w:lang w:val="en-US" w:eastAsia="zh-CN" w:bidi="ar-SA"/>
        </w:rPr>
        <w:t>、</w:t>
      </w:r>
      <w:r>
        <w:rPr>
          <w:rFonts w:hint="eastAsia" w:ascii="Times New Roman" w:hAnsi="Times New Roman" w:eastAsia="宋体" w:cs="Times New Roman"/>
          <w:kern w:val="2"/>
          <w:sz w:val="30"/>
          <w:szCs w:val="30"/>
          <w:lang w:val="en-US" w:eastAsia="zh-CN" w:bidi="ar-SA"/>
        </w:rPr>
        <w:t>住房公积金</w:t>
      </w:r>
      <w:r>
        <w:rPr>
          <w:rFonts w:hint="eastAsia" w:cs="Times New Roman"/>
          <w:kern w:val="2"/>
          <w:sz w:val="30"/>
          <w:szCs w:val="30"/>
          <w:lang w:val="en-US" w:eastAsia="zh-CN" w:bidi="ar-SA"/>
        </w:rPr>
        <w:t>、</w:t>
      </w:r>
      <w:r>
        <w:rPr>
          <w:rFonts w:hint="eastAsia" w:ascii="Times New Roman" w:hAnsi="Times New Roman" w:eastAsia="宋体" w:cs="Times New Roman"/>
          <w:kern w:val="2"/>
          <w:sz w:val="30"/>
          <w:szCs w:val="30"/>
          <w:lang w:val="en-US" w:eastAsia="zh-CN" w:bidi="ar-SA"/>
        </w:rPr>
        <w:t>生活补助、救济费。</w:t>
      </w:r>
    </w:p>
    <w:p w14:paraId="4F37D8BF">
      <w:pPr>
        <w:ind w:firstLine="600" w:firstLineChars="200"/>
        <w:rPr>
          <w:rFonts w:hint="eastAsia" w:ascii="Times New Roman" w:hAnsi="Times New Roman" w:eastAsia="宋体"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公用经费</w:t>
      </w:r>
      <w:r>
        <w:rPr>
          <w:rFonts w:hint="eastAsia" w:cs="Times New Roman"/>
          <w:kern w:val="2"/>
          <w:sz w:val="30"/>
          <w:szCs w:val="30"/>
          <w:lang w:val="en-US" w:eastAsia="zh-CN" w:bidi="ar-SA"/>
        </w:rPr>
        <w:t>19.66</w:t>
      </w:r>
      <w:r>
        <w:rPr>
          <w:rFonts w:hint="eastAsia" w:ascii="Times New Roman" w:hAnsi="Times New Roman" w:eastAsia="宋体" w:cs="Times New Roman"/>
          <w:kern w:val="2"/>
          <w:sz w:val="30"/>
          <w:szCs w:val="30"/>
          <w:lang w:val="en-US" w:eastAsia="zh-CN" w:bidi="ar-SA"/>
        </w:rPr>
        <w:t>万元，主要包括：办公费、水费、电费、邮电费、差旅费、公务接待费、办公设备购置。</w:t>
      </w:r>
    </w:p>
    <w:p w14:paraId="683C1CA8">
      <w:pPr>
        <w:numPr>
          <w:ilvl w:val="0"/>
          <w:numId w:val="5"/>
        </w:numPr>
        <w:rPr>
          <w:rFonts w:hint="eastAsia" w:cs="Times New Roman"/>
          <w:b/>
          <w:bCs/>
          <w:kern w:val="2"/>
          <w:sz w:val="32"/>
          <w:szCs w:val="32"/>
          <w:lang w:val="en-US" w:eastAsia="zh-CN" w:bidi="ar-SA"/>
        </w:rPr>
      </w:pPr>
      <w:r>
        <w:rPr>
          <w:rFonts w:hint="eastAsia" w:cs="Times New Roman"/>
          <w:b/>
          <w:bCs/>
          <w:kern w:val="2"/>
          <w:sz w:val="32"/>
          <w:szCs w:val="32"/>
          <w:lang w:val="en-US" w:eastAsia="zh-CN" w:bidi="ar-SA"/>
        </w:rPr>
        <w:t>一般公共预算财政拨款项目支出决算情况说明</w:t>
      </w:r>
    </w:p>
    <w:p w14:paraId="17755DA1">
      <w:pPr>
        <w:numPr>
          <w:ilvl w:val="0"/>
          <w:numId w:val="0"/>
        </w:numPr>
        <w:ind w:firstLine="620"/>
        <w:rPr>
          <w:rFonts w:hint="eastAsia"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202</w:t>
      </w:r>
      <w:r>
        <w:rPr>
          <w:rFonts w:hint="eastAsia" w:cs="Times New Roman"/>
          <w:kern w:val="2"/>
          <w:sz w:val="30"/>
          <w:szCs w:val="30"/>
          <w:lang w:val="en-US" w:eastAsia="zh-CN" w:bidi="ar-SA"/>
        </w:rPr>
        <w:t>2</w:t>
      </w:r>
      <w:r>
        <w:rPr>
          <w:rFonts w:hint="eastAsia" w:ascii="Times New Roman" w:hAnsi="Times New Roman" w:eastAsia="宋体" w:cs="Times New Roman"/>
          <w:kern w:val="2"/>
          <w:sz w:val="30"/>
          <w:szCs w:val="30"/>
          <w:lang w:val="en-US" w:eastAsia="zh-CN" w:bidi="ar-SA"/>
        </w:rPr>
        <w:t>年一般公共预算财政拨款项目支出</w:t>
      </w:r>
      <w:r>
        <w:rPr>
          <w:rFonts w:hint="eastAsia" w:cs="Times New Roman"/>
          <w:kern w:val="2"/>
          <w:sz w:val="30"/>
          <w:szCs w:val="30"/>
          <w:lang w:val="en-US" w:eastAsia="zh-CN" w:bidi="ar-SA"/>
        </w:rPr>
        <w:t>121.19万元，其中：</w:t>
      </w:r>
    </w:p>
    <w:p w14:paraId="34683832">
      <w:pPr>
        <w:numPr>
          <w:ilvl w:val="0"/>
          <w:numId w:val="0"/>
        </w:numPr>
        <w:ind w:firstLine="620"/>
        <w:rPr>
          <w:rFonts w:hint="default" w:cs="Times New Roman"/>
          <w:color w:val="auto"/>
          <w:kern w:val="2"/>
          <w:sz w:val="30"/>
          <w:szCs w:val="30"/>
          <w:lang w:val="en-US" w:eastAsia="zh-CN" w:bidi="ar-SA"/>
        </w:rPr>
      </w:pPr>
      <w:r>
        <w:rPr>
          <w:rFonts w:hint="eastAsia" w:cs="Times New Roman"/>
          <w:color w:val="auto"/>
          <w:kern w:val="2"/>
          <w:sz w:val="30"/>
          <w:szCs w:val="30"/>
          <w:lang w:val="en-US" w:eastAsia="zh-CN" w:bidi="ar-SA"/>
        </w:rPr>
        <w:t>流浪乞讨人员救助支出项目支出121.19万元，主要用于流浪乞讨人员的生活救助、医疗救治、教育矫治、返乡救助、临时安置、孤儿及未成年保护等支出。</w:t>
      </w:r>
    </w:p>
    <w:p w14:paraId="2CDC6A45">
      <w:pPr>
        <w:rPr>
          <w:rFonts w:hint="eastAsia" w:ascii="Times New Roman" w:hAnsi="Times New Roman" w:eastAsia="宋体" w:cs="Times New Roman"/>
          <w:b/>
          <w:bCs/>
          <w:kern w:val="2"/>
          <w:sz w:val="32"/>
          <w:szCs w:val="32"/>
          <w:lang w:val="en-US" w:eastAsia="zh-CN" w:bidi="ar-SA"/>
        </w:rPr>
      </w:pPr>
      <w:r>
        <w:rPr>
          <w:rFonts w:hint="eastAsia" w:cs="Times New Roman"/>
          <w:b/>
          <w:bCs/>
          <w:kern w:val="2"/>
          <w:sz w:val="32"/>
          <w:szCs w:val="32"/>
          <w:lang w:val="en-US" w:eastAsia="zh-CN" w:bidi="ar-SA"/>
        </w:rPr>
        <w:t>八</w:t>
      </w:r>
      <w:r>
        <w:rPr>
          <w:rFonts w:hint="eastAsia" w:ascii="Times New Roman" w:hAnsi="Times New Roman" w:eastAsia="宋体" w:cs="Times New Roman"/>
          <w:b/>
          <w:bCs/>
          <w:kern w:val="2"/>
          <w:sz w:val="32"/>
          <w:szCs w:val="32"/>
          <w:lang w:val="en-US" w:eastAsia="zh-CN" w:bidi="ar-SA"/>
        </w:rPr>
        <w:t>、“三公”经费财政拨款支出决算情况说明</w:t>
      </w:r>
    </w:p>
    <w:p w14:paraId="1B4B187A">
      <w:pPr>
        <w:ind w:firstLine="600" w:firstLineChars="200"/>
        <w:rPr>
          <w:rFonts w:hint="eastAsia" w:ascii="Times New Roman" w:hAnsi="Times New Roman" w:eastAsia="宋体"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（一）“三公”经费财政拨款支出决算总体情况说明</w:t>
      </w:r>
    </w:p>
    <w:p w14:paraId="7A013C21">
      <w:pPr>
        <w:ind w:firstLine="600" w:firstLineChars="200"/>
        <w:rPr>
          <w:rFonts w:hint="eastAsia" w:ascii="Times New Roman" w:hAnsi="Times New Roman" w:eastAsia="宋体"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202</w:t>
      </w:r>
      <w:r>
        <w:rPr>
          <w:rFonts w:hint="eastAsia" w:cs="Times New Roman"/>
          <w:kern w:val="2"/>
          <w:sz w:val="30"/>
          <w:szCs w:val="30"/>
          <w:lang w:val="en-US" w:eastAsia="zh-CN" w:bidi="ar-SA"/>
        </w:rPr>
        <w:t>2</w:t>
      </w:r>
      <w:r>
        <w:rPr>
          <w:rFonts w:hint="eastAsia" w:ascii="Times New Roman" w:hAnsi="Times New Roman" w:eastAsia="宋体" w:cs="Times New Roman"/>
          <w:kern w:val="2"/>
          <w:sz w:val="30"/>
          <w:szCs w:val="30"/>
          <w:lang w:val="en-US" w:eastAsia="zh-CN" w:bidi="ar-SA"/>
        </w:rPr>
        <w:t>年“三公”经费财政拨款支出决算为0.41万元，完成预算</w:t>
      </w:r>
      <w:r>
        <w:rPr>
          <w:rFonts w:hint="eastAsia" w:ascii="Times New Roman" w:hAnsi="Times New Roman" w:eastAsia="宋体" w:cs="Times New Roman"/>
          <w:color w:val="auto"/>
          <w:kern w:val="2"/>
          <w:sz w:val="30"/>
          <w:szCs w:val="30"/>
          <w:lang w:val="en-US" w:eastAsia="zh-CN" w:bidi="ar-SA"/>
        </w:rPr>
        <w:t>的</w:t>
      </w:r>
      <w:r>
        <w:rPr>
          <w:rFonts w:hint="eastAsia" w:cs="Times New Roman"/>
          <w:b/>
          <w:bCs/>
          <w:color w:val="auto"/>
          <w:kern w:val="2"/>
          <w:sz w:val="30"/>
          <w:szCs w:val="30"/>
          <w:lang w:val="en-US" w:eastAsia="zh-CN" w:bidi="ar-SA"/>
        </w:rPr>
        <w:t>100</w:t>
      </w:r>
      <w:r>
        <w:rPr>
          <w:rFonts w:hint="eastAsia" w:ascii="Times New Roman" w:hAnsi="Times New Roman" w:eastAsia="宋体" w:cs="Times New Roman"/>
          <w:color w:val="auto"/>
          <w:kern w:val="2"/>
          <w:sz w:val="30"/>
          <w:szCs w:val="30"/>
          <w:lang w:val="en-US" w:eastAsia="zh-CN" w:bidi="ar-SA"/>
        </w:rPr>
        <w:t>%</w:t>
      </w:r>
      <w:r>
        <w:rPr>
          <w:rFonts w:hint="eastAsia" w:ascii="Times New Roman" w:hAnsi="Times New Roman" w:eastAsia="宋体" w:cs="Times New Roman"/>
          <w:kern w:val="2"/>
          <w:sz w:val="30"/>
          <w:szCs w:val="30"/>
          <w:lang w:val="en-US" w:eastAsia="zh-CN" w:bidi="ar-SA"/>
        </w:rPr>
        <w:t>，比202</w:t>
      </w:r>
      <w:r>
        <w:rPr>
          <w:rFonts w:hint="eastAsia" w:cs="Times New Roman"/>
          <w:kern w:val="2"/>
          <w:sz w:val="30"/>
          <w:szCs w:val="30"/>
          <w:lang w:val="en-US" w:eastAsia="zh-CN" w:bidi="ar-SA"/>
        </w:rPr>
        <w:t>1</w:t>
      </w:r>
      <w:r>
        <w:rPr>
          <w:rFonts w:hint="eastAsia" w:ascii="Times New Roman" w:hAnsi="Times New Roman" w:eastAsia="宋体" w:cs="Times New Roman"/>
          <w:kern w:val="2"/>
          <w:sz w:val="30"/>
          <w:szCs w:val="30"/>
          <w:lang w:val="en-US" w:eastAsia="zh-CN" w:bidi="ar-SA"/>
        </w:rPr>
        <w:t>年</w:t>
      </w:r>
      <w:r>
        <w:rPr>
          <w:rFonts w:hint="eastAsia" w:cs="Times New Roman"/>
          <w:kern w:val="2"/>
          <w:sz w:val="30"/>
          <w:szCs w:val="30"/>
          <w:lang w:val="en-US" w:eastAsia="zh-CN" w:bidi="ar-SA"/>
        </w:rPr>
        <w:t>持平</w:t>
      </w:r>
      <w:r>
        <w:rPr>
          <w:rFonts w:hint="eastAsia" w:ascii="Times New Roman" w:hAnsi="Times New Roman" w:eastAsia="宋体" w:cs="Times New Roman"/>
          <w:kern w:val="2"/>
          <w:sz w:val="30"/>
          <w:szCs w:val="30"/>
          <w:lang w:val="en-US" w:eastAsia="zh-CN" w:bidi="ar-SA"/>
        </w:rPr>
        <w:t>，主要原因是单位缩减</w:t>
      </w:r>
      <w:r>
        <w:rPr>
          <w:rFonts w:hint="eastAsia" w:cs="Times New Roman"/>
          <w:kern w:val="2"/>
          <w:sz w:val="30"/>
          <w:szCs w:val="30"/>
          <w:lang w:val="en-US" w:eastAsia="zh-CN" w:bidi="ar-SA"/>
        </w:rPr>
        <w:t>三公经费</w:t>
      </w:r>
      <w:r>
        <w:rPr>
          <w:rFonts w:hint="eastAsia" w:ascii="Times New Roman" w:hAnsi="Times New Roman" w:eastAsia="宋体" w:cs="Times New Roman"/>
          <w:kern w:val="2"/>
          <w:sz w:val="30"/>
          <w:szCs w:val="30"/>
          <w:lang w:val="en-US" w:eastAsia="zh-CN" w:bidi="ar-SA"/>
        </w:rPr>
        <w:t>开支</w:t>
      </w:r>
      <w:r>
        <w:rPr>
          <w:rFonts w:hint="eastAsia" w:cs="Times New Roman"/>
          <w:kern w:val="2"/>
          <w:sz w:val="30"/>
          <w:szCs w:val="30"/>
          <w:lang w:val="en-US" w:eastAsia="zh-CN" w:bidi="ar-SA"/>
        </w:rPr>
        <w:t>。决算数与预算数持平的主要原因是单位严控三公经费开支。</w:t>
      </w:r>
    </w:p>
    <w:p w14:paraId="546017DC">
      <w:pPr>
        <w:ind w:firstLine="600" w:firstLineChars="200"/>
        <w:rPr>
          <w:rFonts w:hint="eastAsia" w:ascii="Times New Roman" w:hAnsi="Times New Roman" w:eastAsia="宋体"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（二）“三公”经费财政拨款支出决算具体情况说明</w:t>
      </w:r>
    </w:p>
    <w:p w14:paraId="279BBCC2">
      <w:pPr>
        <w:ind w:firstLine="600" w:firstLineChars="200"/>
        <w:rPr>
          <w:rFonts w:hint="eastAsia" w:ascii="Times New Roman" w:hAnsi="Times New Roman" w:eastAsia="宋体"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202</w:t>
      </w:r>
      <w:r>
        <w:rPr>
          <w:rFonts w:hint="eastAsia" w:cs="Times New Roman"/>
          <w:kern w:val="2"/>
          <w:sz w:val="30"/>
          <w:szCs w:val="30"/>
          <w:lang w:val="en-US" w:eastAsia="zh-CN" w:bidi="ar-SA"/>
        </w:rPr>
        <w:t>2</w:t>
      </w:r>
      <w:r>
        <w:rPr>
          <w:rFonts w:hint="eastAsia" w:ascii="Times New Roman" w:hAnsi="Times New Roman" w:eastAsia="宋体" w:cs="Times New Roman"/>
          <w:kern w:val="2"/>
          <w:sz w:val="30"/>
          <w:szCs w:val="30"/>
          <w:lang w:val="en-US" w:eastAsia="zh-CN" w:bidi="ar-SA"/>
        </w:rPr>
        <w:t>年“三公”经费财政拨款支出为0.41万元，比202</w:t>
      </w:r>
      <w:r>
        <w:rPr>
          <w:rFonts w:hint="eastAsia" w:cs="Times New Roman"/>
          <w:kern w:val="2"/>
          <w:sz w:val="30"/>
          <w:szCs w:val="30"/>
          <w:lang w:val="en-US" w:eastAsia="zh-CN" w:bidi="ar-SA"/>
        </w:rPr>
        <w:t>1</w:t>
      </w:r>
      <w:r>
        <w:rPr>
          <w:rFonts w:hint="eastAsia" w:ascii="Times New Roman" w:hAnsi="Times New Roman" w:eastAsia="宋体" w:cs="Times New Roman"/>
          <w:kern w:val="2"/>
          <w:sz w:val="30"/>
          <w:szCs w:val="30"/>
          <w:lang w:val="en-US" w:eastAsia="zh-CN" w:bidi="ar-SA"/>
        </w:rPr>
        <w:t>年</w:t>
      </w:r>
      <w:r>
        <w:rPr>
          <w:rFonts w:hint="eastAsia" w:cs="Times New Roman"/>
          <w:kern w:val="2"/>
          <w:sz w:val="30"/>
          <w:szCs w:val="30"/>
          <w:lang w:val="en-US" w:eastAsia="zh-CN" w:bidi="ar-SA"/>
        </w:rPr>
        <w:t>持平</w:t>
      </w:r>
      <w:r>
        <w:rPr>
          <w:rFonts w:hint="eastAsia" w:ascii="Times New Roman" w:hAnsi="Times New Roman" w:eastAsia="宋体" w:cs="Times New Roman"/>
          <w:kern w:val="2"/>
          <w:sz w:val="30"/>
          <w:szCs w:val="30"/>
          <w:lang w:val="en-US" w:eastAsia="zh-CN" w:bidi="ar-SA"/>
        </w:rPr>
        <w:t>，主要原因是单位缩减开支</w:t>
      </w:r>
      <w:r>
        <w:rPr>
          <w:rFonts w:hint="eastAsia" w:cs="Times New Roman"/>
          <w:kern w:val="2"/>
          <w:sz w:val="30"/>
          <w:szCs w:val="30"/>
          <w:lang w:val="en-US" w:eastAsia="zh-CN" w:bidi="ar-SA"/>
        </w:rPr>
        <w:t>。其中：</w:t>
      </w:r>
      <w:r>
        <w:rPr>
          <w:rFonts w:hint="eastAsia" w:ascii="Times New Roman" w:hAnsi="Times New Roman" w:eastAsia="宋体" w:cs="Times New Roman"/>
          <w:kern w:val="2"/>
          <w:sz w:val="30"/>
          <w:szCs w:val="30"/>
          <w:lang w:val="en-US" w:eastAsia="zh-CN" w:bidi="ar-SA"/>
        </w:rPr>
        <w:t>因公出国（境）费支出决算0万元，占0%；公务用车购置及运行维护费支出决算0万元，占0%；公务接待费支出决算0.41万元，占100%。具体情况如下：</w:t>
      </w:r>
    </w:p>
    <w:p w14:paraId="1F3F7BAC">
      <w:pPr>
        <w:rPr>
          <w:sz w:val="24"/>
        </w:rPr>
      </w:pPr>
    </w:p>
    <w:p w14:paraId="017D3CE6">
      <w:r>
        <w:rPr>
          <w:rFonts w:ascii="Times New Roman" w:hAnsi="Times New Roman" w:eastAsia="宋体" w:cs="Times New Roman"/>
          <w:kern w:val="2"/>
          <w:sz w:val="21"/>
          <w:szCs w:val="24"/>
          <w:lang w:val="en-US" w:eastAsia="zh-CN" w:bidi="ar-SA"/>
        </w:rPr>
        <w:pict>
          <v:shape id="_x0000_i1032" o:spt="75" type="#_x0000_t75" style="height:242.25pt;width:415.3pt;" fillcolor="#FFFFFF" filled="f" o:preferrelative="t" stroked="f" coordsize="21600,21600">
            <v:path/>
            <v:fill on="f" color2="#FFFFFF" focussize="0,0"/>
            <v:stroke on="f"/>
            <v:imagedata r:id="rId10" gain="65536f" blacklevel="0f" gamma="0" o:title=""/>
            <o:lock v:ext="edit" position="f" selection="f" grouping="f" rotation="f" cropping="f" text="f" aspectratio="t"/>
            <w10:wrap type="none"/>
            <w10:anchorlock/>
          </v:shape>
        </w:pict>
      </w:r>
    </w:p>
    <w:p w14:paraId="4A9CF29C">
      <w:pPr>
        <w:pStyle w:val="2"/>
        <w:ind w:firstLine="640" w:firstLineChars="200"/>
      </w:pPr>
      <w:r>
        <w:rPr>
          <w:rFonts w:hint="default" w:ascii="Times New Roman" w:hAnsi="Times New Roman" w:eastAsia="仿宋" w:cs="Times New Roman"/>
          <w:color w:val="000000"/>
          <w:sz w:val="32"/>
          <w:szCs w:val="32"/>
        </w:rPr>
        <w:t>（图7：“三公”经费财政拨款支出结构）（饼状图）</w:t>
      </w:r>
    </w:p>
    <w:p w14:paraId="0C99676C">
      <w:pPr>
        <w:ind w:firstLine="602" w:firstLineChars="200"/>
        <w:rPr>
          <w:rFonts w:hint="eastAsia" w:ascii="Times New Roman" w:hAnsi="Times New Roman" w:eastAsia="宋体" w:cs="Times New Roman"/>
          <w:kern w:val="2"/>
          <w:sz w:val="30"/>
          <w:szCs w:val="30"/>
          <w:lang w:val="en-US" w:eastAsia="zh-CN" w:bidi="ar-SA"/>
        </w:rPr>
      </w:pPr>
      <w:r>
        <w:rPr>
          <w:rFonts w:hint="eastAsia" w:ascii="Times New Roman" w:hAnsi="Times New Roman" w:eastAsia="宋体" w:cs="Times New Roman"/>
          <w:b/>
          <w:bCs/>
          <w:kern w:val="2"/>
          <w:sz w:val="30"/>
          <w:szCs w:val="30"/>
          <w:lang w:val="en-US" w:eastAsia="zh-CN" w:bidi="ar-SA"/>
        </w:rPr>
        <w:t>1.因公出国（境）经费支出0万元，</w:t>
      </w:r>
      <w:r>
        <w:rPr>
          <w:rFonts w:hint="eastAsia" w:ascii="Times New Roman" w:hAnsi="Times New Roman" w:eastAsia="宋体" w:cs="Times New Roman"/>
          <w:kern w:val="2"/>
          <w:sz w:val="30"/>
          <w:szCs w:val="30"/>
          <w:lang w:val="en-US" w:eastAsia="zh-CN" w:bidi="ar-SA"/>
        </w:rPr>
        <w:t>完成预算</w:t>
      </w:r>
      <w:r>
        <w:rPr>
          <w:rFonts w:hint="eastAsia" w:cs="Times New Roman"/>
          <w:kern w:val="2"/>
          <w:sz w:val="30"/>
          <w:szCs w:val="30"/>
          <w:lang w:val="en-US" w:eastAsia="zh-CN" w:bidi="ar-SA"/>
        </w:rPr>
        <w:t>0</w:t>
      </w:r>
      <w:r>
        <w:rPr>
          <w:rFonts w:hint="eastAsia" w:ascii="Times New Roman" w:hAnsi="Times New Roman" w:eastAsia="宋体" w:cs="Times New Roman"/>
          <w:kern w:val="2"/>
          <w:sz w:val="30"/>
          <w:szCs w:val="30"/>
          <w:lang w:val="en-US" w:eastAsia="zh-CN" w:bidi="ar-SA"/>
        </w:rPr>
        <w:t>%。同202</w:t>
      </w:r>
      <w:r>
        <w:rPr>
          <w:rFonts w:hint="eastAsia" w:cs="Times New Roman"/>
          <w:kern w:val="2"/>
          <w:sz w:val="30"/>
          <w:szCs w:val="30"/>
          <w:lang w:val="en-US" w:eastAsia="zh-CN" w:bidi="ar-SA"/>
        </w:rPr>
        <w:t>1</w:t>
      </w:r>
      <w:r>
        <w:rPr>
          <w:rFonts w:hint="eastAsia" w:ascii="Times New Roman" w:hAnsi="Times New Roman" w:eastAsia="宋体" w:cs="Times New Roman"/>
          <w:kern w:val="2"/>
          <w:sz w:val="30"/>
          <w:szCs w:val="30"/>
          <w:lang w:val="en-US" w:eastAsia="zh-CN" w:bidi="ar-SA"/>
        </w:rPr>
        <w:t>年决算数持平。全年安排因公出国（境）团组0次，出国（境）0人。</w:t>
      </w:r>
    </w:p>
    <w:p w14:paraId="6BF9F16F">
      <w:pPr>
        <w:ind w:firstLine="602" w:firstLineChars="200"/>
        <w:rPr>
          <w:rFonts w:hint="eastAsia" w:cs="Times New Roman"/>
          <w:kern w:val="2"/>
          <w:sz w:val="30"/>
          <w:szCs w:val="30"/>
          <w:lang w:val="en-US" w:eastAsia="zh-CN" w:bidi="ar-SA"/>
        </w:rPr>
      </w:pPr>
      <w:r>
        <w:rPr>
          <w:rFonts w:hint="eastAsia" w:cs="Times New Roman"/>
          <w:b/>
          <w:bCs/>
          <w:kern w:val="2"/>
          <w:sz w:val="30"/>
          <w:szCs w:val="30"/>
          <w:lang w:val="en-US" w:eastAsia="zh-CN" w:bidi="ar-SA"/>
        </w:rPr>
        <w:t>2.公务用车购置及运行维护费支出0万元，</w:t>
      </w:r>
      <w:r>
        <w:rPr>
          <w:rFonts w:hint="eastAsia" w:cs="Times New Roman"/>
          <w:kern w:val="2"/>
          <w:sz w:val="30"/>
          <w:szCs w:val="30"/>
          <w:lang w:val="en-US" w:eastAsia="zh-CN" w:bidi="ar-SA"/>
        </w:rPr>
        <w:t>完成预算0%。公务用车购置及运行维护费支出决算同2021年决算数持平。</w:t>
      </w:r>
    </w:p>
    <w:p w14:paraId="253CC112">
      <w:pPr>
        <w:ind w:firstLine="600" w:firstLineChars="200"/>
        <w:rPr>
          <w:rFonts w:hint="eastAsia" w:cs="Times New Roman"/>
          <w:color w:val="000000"/>
          <w:kern w:val="2"/>
          <w:sz w:val="30"/>
          <w:szCs w:val="30"/>
          <w:lang w:val="en-US" w:eastAsia="zh-CN" w:bidi="ar-SA"/>
        </w:rPr>
      </w:pPr>
      <w:r>
        <w:rPr>
          <w:rFonts w:hint="eastAsia" w:cs="Times New Roman"/>
          <w:kern w:val="2"/>
          <w:sz w:val="30"/>
          <w:szCs w:val="30"/>
          <w:lang w:val="en-US" w:eastAsia="zh-CN" w:bidi="ar-SA"/>
        </w:rPr>
        <w:t>其中：</w:t>
      </w:r>
      <w:r>
        <w:rPr>
          <w:rFonts w:hint="eastAsia" w:cs="Times New Roman"/>
          <w:b/>
          <w:bCs/>
          <w:kern w:val="2"/>
          <w:sz w:val="30"/>
          <w:szCs w:val="30"/>
          <w:lang w:val="en-US" w:eastAsia="zh-CN" w:bidi="ar-SA"/>
        </w:rPr>
        <w:t>公务用车购置支出0万元，</w:t>
      </w:r>
      <w:r>
        <w:rPr>
          <w:rFonts w:hint="eastAsia" w:cs="Times New Roman"/>
          <w:kern w:val="2"/>
          <w:sz w:val="30"/>
          <w:szCs w:val="30"/>
          <w:lang w:val="en-US" w:eastAsia="zh-CN" w:bidi="ar-SA"/>
        </w:rPr>
        <w:t>同2021年决算数持平。全年按规定更新购置公务用车0辆，其中:轿车0辆、金额0万元，越野车0辆、金额0万元、载客汽车0辆、金额0万元。</w:t>
      </w:r>
      <w:r>
        <w:rPr>
          <w:rFonts w:hint="eastAsia" w:cs="Times New Roman"/>
          <w:color w:val="000000"/>
          <w:kern w:val="2"/>
          <w:sz w:val="30"/>
          <w:szCs w:val="30"/>
          <w:lang w:val="en-US" w:eastAsia="zh-CN" w:bidi="ar-SA"/>
        </w:rPr>
        <w:t>截至2021年12月底，单位共有公务用车0辆，其中：轿车0辆、越野车0辆、载客汽车0辆。</w:t>
      </w:r>
    </w:p>
    <w:p w14:paraId="4C214E03">
      <w:pPr>
        <w:ind w:firstLine="602" w:firstLineChars="200"/>
        <w:rPr>
          <w:rFonts w:hint="default" w:cs="Times New Roman"/>
          <w:kern w:val="2"/>
          <w:sz w:val="30"/>
          <w:szCs w:val="30"/>
          <w:lang w:val="en-US" w:eastAsia="zh-CN" w:bidi="ar-SA"/>
        </w:rPr>
      </w:pPr>
      <w:r>
        <w:rPr>
          <w:rFonts w:hint="default" w:cs="Times New Roman"/>
          <w:b/>
          <w:bCs/>
          <w:kern w:val="2"/>
          <w:sz w:val="30"/>
          <w:szCs w:val="30"/>
          <w:lang w:val="en-US" w:eastAsia="zh-CN" w:bidi="ar-SA"/>
        </w:rPr>
        <w:t>公务用车运行维护费支出0万元，</w:t>
      </w:r>
      <w:r>
        <w:rPr>
          <w:rFonts w:hint="default" w:cs="Times New Roman"/>
          <w:kern w:val="2"/>
          <w:sz w:val="30"/>
          <w:szCs w:val="30"/>
          <w:lang w:val="en-US" w:eastAsia="zh-CN" w:bidi="ar-SA"/>
        </w:rPr>
        <w:t>同202</w:t>
      </w:r>
      <w:r>
        <w:rPr>
          <w:rFonts w:hint="eastAsia" w:cs="Times New Roman"/>
          <w:kern w:val="2"/>
          <w:sz w:val="30"/>
          <w:szCs w:val="30"/>
          <w:lang w:val="en-US" w:eastAsia="zh-CN" w:bidi="ar-SA"/>
        </w:rPr>
        <w:t>1</w:t>
      </w:r>
      <w:r>
        <w:rPr>
          <w:rFonts w:hint="default" w:cs="Times New Roman"/>
          <w:kern w:val="2"/>
          <w:sz w:val="30"/>
          <w:szCs w:val="30"/>
          <w:lang w:val="en-US" w:eastAsia="zh-CN" w:bidi="ar-SA"/>
        </w:rPr>
        <w:t>年决算数</w:t>
      </w:r>
      <w:r>
        <w:rPr>
          <w:rFonts w:hint="eastAsia" w:cs="Times New Roman"/>
          <w:kern w:val="2"/>
          <w:sz w:val="30"/>
          <w:szCs w:val="30"/>
          <w:lang w:val="en-US" w:eastAsia="zh-CN" w:bidi="ar-SA"/>
        </w:rPr>
        <w:t>持平。</w:t>
      </w:r>
    </w:p>
    <w:p w14:paraId="302D5C2B">
      <w:pPr>
        <w:ind w:firstLine="602" w:firstLineChars="200"/>
        <w:rPr>
          <w:rFonts w:hint="eastAsia" w:ascii="Times New Roman" w:hAnsi="Times New Roman" w:eastAsia="宋体" w:cs="Times New Roman"/>
          <w:kern w:val="2"/>
          <w:sz w:val="30"/>
          <w:szCs w:val="30"/>
          <w:lang w:val="en-US" w:eastAsia="zh-CN" w:bidi="ar-SA"/>
        </w:rPr>
      </w:pPr>
      <w:r>
        <w:rPr>
          <w:rFonts w:hint="eastAsia" w:cs="Times New Roman"/>
          <w:b/>
          <w:bCs/>
          <w:color w:val="auto"/>
          <w:kern w:val="2"/>
          <w:sz w:val="30"/>
          <w:szCs w:val="30"/>
          <w:lang w:val="en-US" w:eastAsia="zh-CN" w:bidi="ar-SA"/>
        </w:rPr>
        <w:t>3.</w:t>
      </w:r>
      <w:r>
        <w:rPr>
          <w:rFonts w:hint="eastAsia" w:ascii="Times New Roman" w:hAnsi="Times New Roman" w:eastAsia="宋体" w:cs="Times New Roman"/>
          <w:b/>
          <w:bCs/>
          <w:color w:val="auto"/>
          <w:kern w:val="2"/>
          <w:sz w:val="30"/>
          <w:szCs w:val="30"/>
          <w:lang w:val="en-US" w:eastAsia="zh-CN" w:bidi="ar-SA"/>
        </w:rPr>
        <w:t>公务接待费支出0.41万元，</w:t>
      </w:r>
      <w:r>
        <w:rPr>
          <w:rFonts w:hint="eastAsia" w:ascii="Times New Roman" w:hAnsi="Times New Roman" w:eastAsia="宋体" w:cs="Times New Roman"/>
          <w:kern w:val="2"/>
          <w:sz w:val="30"/>
          <w:szCs w:val="30"/>
          <w:lang w:val="en-US" w:eastAsia="zh-CN" w:bidi="ar-SA"/>
        </w:rPr>
        <w:t>完成预算的</w:t>
      </w:r>
      <w:r>
        <w:rPr>
          <w:rFonts w:hint="eastAsia" w:cs="Times New Roman"/>
          <w:kern w:val="2"/>
          <w:sz w:val="30"/>
          <w:szCs w:val="30"/>
          <w:lang w:val="en-US" w:eastAsia="zh-CN" w:bidi="ar-SA"/>
        </w:rPr>
        <w:t>100</w:t>
      </w:r>
      <w:r>
        <w:rPr>
          <w:rFonts w:hint="eastAsia" w:ascii="Times New Roman" w:hAnsi="Times New Roman" w:eastAsia="宋体" w:cs="Times New Roman"/>
          <w:kern w:val="2"/>
          <w:sz w:val="30"/>
          <w:szCs w:val="30"/>
          <w:lang w:val="en-US" w:eastAsia="zh-CN" w:bidi="ar-SA"/>
        </w:rPr>
        <w:t>%。公务接待费支出决算</w:t>
      </w:r>
      <w:r>
        <w:rPr>
          <w:rFonts w:hint="eastAsia" w:cs="Times New Roman"/>
          <w:kern w:val="2"/>
          <w:sz w:val="30"/>
          <w:szCs w:val="30"/>
          <w:lang w:val="en-US" w:eastAsia="zh-CN" w:bidi="ar-SA"/>
        </w:rPr>
        <w:t>数</w:t>
      </w:r>
      <w:r>
        <w:rPr>
          <w:rFonts w:hint="eastAsia" w:ascii="Times New Roman" w:hAnsi="Times New Roman" w:eastAsia="宋体" w:cs="Times New Roman"/>
          <w:kern w:val="2"/>
          <w:sz w:val="30"/>
          <w:szCs w:val="30"/>
          <w:lang w:val="en-US" w:eastAsia="zh-CN" w:bidi="ar-SA"/>
        </w:rPr>
        <w:t>比202</w:t>
      </w:r>
      <w:r>
        <w:rPr>
          <w:rFonts w:hint="eastAsia" w:cs="Times New Roman"/>
          <w:kern w:val="2"/>
          <w:sz w:val="30"/>
          <w:szCs w:val="30"/>
          <w:lang w:val="en-US" w:eastAsia="zh-CN" w:bidi="ar-SA"/>
        </w:rPr>
        <w:t>1</w:t>
      </w:r>
      <w:r>
        <w:rPr>
          <w:rFonts w:hint="eastAsia" w:ascii="Times New Roman" w:hAnsi="Times New Roman" w:eastAsia="宋体" w:cs="Times New Roman"/>
          <w:kern w:val="2"/>
          <w:sz w:val="30"/>
          <w:szCs w:val="30"/>
          <w:lang w:val="en-US" w:eastAsia="zh-CN" w:bidi="ar-SA"/>
        </w:rPr>
        <w:t>年</w:t>
      </w:r>
      <w:r>
        <w:rPr>
          <w:rFonts w:hint="eastAsia" w:cs="Times New Roman"/>
          <w:kern w:val="2"/>
          <w:sz w:val="30"/>
          <w:szCs w:val="30"/>
          <w:lang w:val="en-US" w:eastAsia="zh-CN" w:bidi="ar-SA"/>
        </w:rPr>
        <w:t>持平</w:t>
      </w:r>
      <w:r>
        <w:rPr>
          <w:rFonts w:hint="eastAsia" w:ascii="Times New Roman" w:hAnsi="Times New Roman" w:eastAsia="宋体" w:cs="Times New Roman"/>
          <w:kern w:val="2"/>
          <w:sz w:val="30"/>
          <w:szCs w:val="30"/>
          <w:lang w:val="en-US" w:eastAsia="zh-CN" w:bidi="ar-SA"/>
        </w:rPr>
        <w:t>，主要原因是单位缩减开支。</w:t>
      </w:r>
    </w:p>
    <w:p w14:paraId="76A42C18">
      <w:pPr>
        <w:ind w:firstLine="602" w:firstLineChars="200"/>
        <w:rPr>
          <w:rFonts w:hint="eastAsia" w:cs="Times New Roman"/>
          <w:b w:val="0"/>
          <w:bCs w:val="0"/>
          <w:color w:val="000000"/>
          <w:kern w:val="2"/>
          <w:sz w:val="30"/>
          <w:szCs w:val="30"/>
          <w:lang w:val="en-US" w:eastAsia="zh-CN" w:bidi="ar-SA"/>
        </w:rPr>
      </w:pPr>
      <w:r>
        <w:rPr>
          <w:rFonts w:hint="eastAsia" w:ascii="Times New Roman" w:hAnsi="Times New Roman" w:eastAsia="宋体" w:cs="Times New Roman"/>
          <w:b/>
          <w:bCs/>
          <w:kern w:val="2"/>
          <w:sz w:val="30"/>
          <w:szCs w:val="30"/>
          <w:lang w:val="en-US" w:eastAsia="zh-CN" w:bidi="ar-SA"/>
        </w:rPr>
        <w:t>国内公务接待支出0.41万元</w:t>
      </w:r>
      <w:r>
        <w:rPr>
          <w:rFonts w:hint="eastAsia" w:cs="Times New Roman"/>
          <w:b/>
          <w:bCs/>
          <w:kern w:val="2"/>
          <w:sz w:val="30"/>
          <w:szCs w:val="30"/>
          <w:lang w:val="en-US" w:eastAsia="zh-CN" w:bidi="ar-SA"/>
        </w:rPr>
        <w:t>，</w:t>
      </w:r>
      <w:r>
        <w:rPr>
          <w:rFonts w:hint="eastAsia" w:cs="Times New Roman"/>
          <w:kern w:val="2"/>
          <w:sz w:val="30"/>
          <w:szCs w:val="30"/>
          <w:lang w:val="en-US" w:eastAsia="zh-CN" w:bidi="ar-SA"/>
        </w:rPr>
        <w:t>同</w:t>
      </w:r>
      <w:r>
        <w:rPr>
          <w:rFonts w:hint="eastAsia" w:ascii="Times New Roman" w:hAnsi="Times New Roman" w:eastAsia="宋体" w:cs="Times New Roman"/>
          <w:kern w:val="2"/>
          <w:sz w:val="30"/>
          <w:szCs w:val="30"/>
          <w:lang w:val="en-US" w:eastAsia="zh-CN" w:bidi="ar-SA"/>
        </w:rPr>
        <w:t>202</w:t>
      </w:r>
      <w:r>
        <w:rPr>
          <w:rFonts w:hint="eastAsia" w:cs="Times New Roman"/>
          <w:kern w:val="2"/>
          <w:sz w:val="30"/>
          <w:szCs w:val="30"/>
          <w:lang w:val="en-US" w:eastAsia="zh-CN" w:bidi="ar-SA"/>
        </w:rPr>
        <w:t>1</w:t>
      </w:r>
      <w:r>
        <w:rPr>
          <w:rFonts w:hint="eastAsia" w:ascii="Times New Roman" w:hAnsi="Times New Roman" w:eastAsia="宋体" w:cs="Times New Roman"/>
          <w:kern w:val="2"/>
          <w:sz w:val="30"/>
          <w:szCs w:val="30"/>
          <w:lang w:val="en-US" w:eastAsia="zh-CN" w:bidi="ar-SA"/>
        </w:rPr>
        <w:t>年</w:t>
      </w:r>
      <w:r>
        <w:rPr>
          <w:rFonts w:hint="eastAsia" w:cs="Times New Roman"/>
          <w:kern w:val="2"/>
          <w:sz w:val="30"/>
          <w:szCs w:val="30"/>
          <w:lang w:val="en-US" w:eastAsia="zh-CN" w:bidi="ar-SA"/>
        </w:rPr>
        <w:t>持平</w:t>
      </w:r>
      <w:r>
        <w:rPr>
          <w:rFonts w:hint="eastAsia" w:ascii="Times New Roman" w:hAnsi="Times New Roman" w:eastAsia="宋体" w:cs="Times New Roman"/>
          <w:kern w:val="2"/>
          <w:sz w:val="30"/>
          <w:szCs w:val="30"/>
          <w:lang w:val="en-US" w:eastAsia="zh-CN" w:bidi="ar-SA"/>
        </w:rPr>
        <w:t>，主要原因是单位缩减开支。主要用于执行公务、开展业务活动开支的交通费、住宿费、用餐费等。国内公务接待</w:t>
      </w:r>
      <w:r>
        <w:rPr>
          <w:rFonts w:hint="eastAsia" w:cs="Times New Roman"/>
          <w:kern w:val="2"/>
          <w:sz w:val="30"/>
          <w:szCs w:val="30"/>
          <w:lang w:val="en-US" w:eastAsia="zh-CN" w:bidi="ar-SA"/>
        </w:rPr>
        <w:t>10</w:t>
      </w:r>
      <w:r>
        <w:rPr>
          <w:rFonts w:hint="eastAsia" w:ascii="Times New Roman" w:hAnsi="Times New Roman" w:eastAsia="宋体" w:cs="Times New Roman"/>
          <w:kern w:val="2"/>
          <w:sz w:val="30"/>
          <w:szCs w:val="30"/>
          <w:lang w:val="en-US" w:eastAsia="zh-CN" w:bidi="ar-SA"/>
        </w:rPr>
        <w:t>批次，</w:t>
      </w:r>
      <w:r>
        <w:rPr>
          <w:rFonts w:hint="eastAsia" w:cs="Times New Roman"/>
          <w:kern w:val="2"/>
          <w:sz w:val="30"/>
          <w:szCs w:val="30"/>
          <w:lang w:val="en-US" w:eastAsia="zh-CN" w:bidi="ar-SA"/>
        </w:rPr>
        <w:t>85</w:t>
      </w:r>
      <w:r>
        <w:rPr>
          <w:rFonts w:hint="eastAsia" w:ascii="Times New Roman" w:hAnsi="Times New Roman" w:eastAsia="宋体" w:cs="Times New Roman"/>
          <w:kern w:val="2"/>
          <w:sz w:val="30"/>
          <w:szCs w:val="30"/>
          <w:lang w:val="en-US" w:eastAsia="zh-CN" w:bidi="ar-SA"/>
        </w:rPr>
        <w:t>人次</w:t>
      </w:r>
      <w:r>
        <w:rPr>
          <w:rFonts w:hint="eastAsia" w:cs="Times New Roman"/>
          <w:kern w:val="2"/>
          <w:sz w:val="30"/>
          <w:szCs w:val="30"/>
          <w:lang w:val="en-US" w:eastAsia="zh-CN" w:bidi="ar-SA"/>
        </w:rPr>
        <w:t>（不包括陪同人员）</w:t>
      </w:r>
      <w:r>
        <w:rPr>
          <w:rFonts w:hint="eastAsia" w:ascii="Times New Roman" w:hAnsi="Times New Roman" w:eastAsia="宋体" w:cs="Times New Roman"/>
          <w:kern w:val="2"/>
          <w:sz w:val="30"/>
          <w:szCs w:val="30"/>
          <w:lang w:val="en-US" w:eastAsia="zh-CN" w:bidi="ar-SA"/>
        </w:rPr>
        <w:t>，共计支出0.41万元</w:t>
      </w:r>
      <w:r>
        <w:rPr>
          <w:rFonts w:hint="eastAsia" w:cs="Times New Roman"/>
          <w:kern w:val="2"/>
          <w:sz w:val="30"/>
          <w:szCs w:val="30"/>
          <w:lang w:val="en-US" w:eastAsia="zh-CN" w:bidi="ar-SA"/>
        </w:rPr>
        <w:t>，</w:t>
      </w:r>
      <w:r>
        <w:rPr>
          <w:rFonts w:hint="eastAsia" w:cs="Times New Roman"/>
          <w:b w:val="0"/>
          <w:bCs w:val="0"/>
          <w:color w:val="000000"/>
          <w:kern w:val="2"/>
          <w:sz w:val="30"/>
          <w:szCs w:val="30"/>
          <w:lang w:val="en-US" w:eastAsia="zh-CN" w:bidi="ar-SA"/>
        </w:rPr>
        <w:t>具体内容包括1.接待外省市救助站的工作人员护送求助人员返乡5批次，40人次，所产生的接待费用合计为0.2万元，2.接待市内各区市县救助站的工作人员护送求助人员返乡5批次，45人次，所产生的接待费用合计为0.21万元。</w:t>
      </w:r>
    </w:p>
    <w:p w14:paraId="140EF5A7">
      <w:pPr>
        <w:ind w:firstLine="602" w:firstLineChars="200"/>
        <w:rPr>
          <w:rFonts w:hint="eastAsia" w:ascii="Times New Roman" w:hAnsi="Times New Roman" w:eastAsia="宋体" w:cs="Times New Roman"/>
          <w:kern w:val="2"/>
          <w:sz w:val="30"/>
          <w:szCs w:val="30"/>
          <w:lang w:val="en-US" w:eastAsia="zh-CN" w:bidi="ar-SA"/>
        </w:rPr>
      </w:pPr>
      <w:r>
        <w:rPr>
          <w:rFonts w:hint="eastAsia" w:ascii="Times New Roman" w:hAnsi="Times New Roman" w:eastAsia="宋体" w:cs="Times New Roman"/>
          <w:b/>
          <w:bCs/>
          <w:kern w:val="2"/>
          <w:sz w:val="30"/>
          <w:szCs w:val="30"/>
          <w:lang w:val="en-US" w:eastAsia="zh-CN" w:bidi="ar-SA"/>
        </w:rPr>
        <w:t>外事接待支出0万元，</w:t>
      </w:r>
      <w:r>
        <w:rPr>
          <w:rFonts w:hint="eastAsia" w:ascii="Times New Roman" w:hAnsi="Times New Roman" w:eastAsia="宋体" w:cs="Times New Roman"/>
          <w:kern w:val="2"/>
          <w:sz w:val="30"/>
          <w:szCs w:val="30"/>
          <w:lang w:val="en-US" w:eastAsia="zh-CN" w:bidi="ar-SA"/>
        </w:rPr>
        <w:t>同202</w:t>
      </w:r>
      <w:r>
        <w:rPr>
          <w:rFonts w:hint="eastAsia" w:cs="Times New Roman"/>
          <w:kern w:val="2"/>
          <w:sz w:val="30"/>
          <w:szCs w:val="30"/>
          <w:lang w:val="en-US" w:eastAsia="zh-CN" w:bidi="ar-SA"/>
        </w:rPr>
        <w:t>1</w:t>
      </w:r>
      <w:r>
        <w:rPr>
          <w:rFonts w:hint="eastAsia" w:ascii="Times New Roman" w:hAnsi="Times New Roman" w:eastAsia="宋体" w:cs="Times New Roman"/>
          <w:kern w:val="2"/>
          <w:sz w:val="30"/>
          <w:szCs w:val="30"/>
          <w:lang w:val="en-US" w:eastAsia="zh-CN" w:bidi="ar-SA"/>
        </w:rPr>
        <w:t>年决算数持平。外事接待0批次，0人</w:t>
      </w:r>
      <w:r>
        <w:rPr>
          <w:rFonts w:hint="eastAsia" w:cs="Times New Roman"/>
          <w:kern w:val="2"/>
          <w:sz w:val="30"/>
          <w:szCs w:val="30"/>
          <w:lang w:val="en-US" w:eastAsia="zh-CN" w:bidi="ar-SA"/>
        </w:rPr>
        <w:t>次（不包括陪同人员）</w:t>
      </w:r>
      <w:r>
        <w:rPr>
          <w:rFonts w:hint="eastAsia" w:ascii="Times New Roman" w:hAnsi="Times New Roman" w:eastAsia="宋体" w:cs="Times New Roman"/>
          <w:kern w:val="2"/>
          <w:sz w:val="30"/>
          <w:szCs w:val="30"/>
          <w:lang w:val="en-US" w:eastAsia="zh-CN" w:bidi="ar-SA"/>
        </w:rPr>
        <w:t>，共计支出0万元。</w:t>
      </w:r>
    </w:p>
    <w:p w14:paraId="39A9DB59">
      <w:pPr>
        <w:rPr>
          <w:rFonts w:hint="eastAsia" w:ascii="Times New Roman" w:hAnsi="Times New Roman" w:eastAsia="宋体" w:cs="Times New Roman"/>
          <w:b/>
          <w:bCs/>
          <w:kern w:val="2"/>
          <w:sz w:val="32"/>
          <w:szCs w:val="32"/>
          <w:lang w:val="en-US" w:eastAsia="zh-CN" w:bidi="ar-SA"/>
        </w:rPr>
      </w:pPr>
      <w:r>
        <w:rPr>
          <w:rFonts w:hint="eastAsia" w:cs="Times New Roman"/>
          <w:b/>
          <w:bCs/>
          <w:kern w:val="2"/>
          <w:sz w:val="32"/>
          <w:szCs w:val="32"/>
          <w:lang w:val="en-US" w:eastAsia="zh-CN" w:bidi="ar-SA"/>
        </w:rPr>
        <w:t>九</w:t>
      </w:r>
      <w:r>
        <w:rPr>
          <w:rFonts w:hint="eastAsia" w:ascii="Times New Roman" w:hAnsi="Times New Roman" w:eastAsia="宋体" w:cs="Times New Roman"/>
          <w:b/>
          <w:bCs/>
          <w:kern w:val="2"/>
          <w:sz w:val="32"/>
          <w:szCs w:val="32"/>
          <w:lang w:val="en-US" w:eastAsia="zh-CN" w:bidi="ar-SA"/>
        </w:rPr>
        <w:t>、政府性基金预算支出决算</w:t>
      </w:r>
      <w:r>
        <w:rPr>
          <w:rFonts w:hint="eastAsia" w:cs="Times New Roman"/>
          <w:b/>
          <w:bCs/>
          <w:kern w:val="2"/>
          <w:sz w:val="32"/>
          <w:szCs w:val="32"/>
          <w:lang w:val="en-US" w:eastAsia="zh-CN" w:bidi="ar-SA"/>
        </w:rPr>
        <w:t>情况</w:t>
      </w:r>
      <w:r>
        <w:rPr>
          <w:rFonts w:hint="eastAsia" w:ascii="Times New Roman" w:hAnsi="Times New Roman" w:eastAsia="宋体" w:cs="Times New Roman"/>
          <w:b/>
          <w:bCs/>
          <w:kern w:val="2"/>
          <w:sz w:val="32"/>
          <w:szCs w:val="32"/>
          <w:lang w:val="en-US" w:eastAsia="zh-CN" w:bidi="ar-SA"/>
        </w:rPr>
        <w:t>说明</w:t>
      </w:r>
    </w:p>
    <w:p w14:paraId="10EE8163">
      <w:pPr>
        <w:ind w:firstLine="600" w:firstLineChars="200"/>
        <w:rPr>
          <w:sz w:val="24"/>
        </w:rPr>
      </w:pPr>
      <w:r>
        <w:rPr>
          <w:rFonts w:hint="eastAsia" w:ascii="Times New Roman" w:hAnsi="Times New Roman" w:eastAsia="宋体" w:cs="Times New Roman"/>
          <w:kern w:val="2"/>
          <w:sz w:val="30"/>
          <w:szCs w:val="30"/>
          <w:lang w:val="en-US" w:eastAsia="zh-CN" w:bidi="ar-SA"/>
        </w:rPr>
        <w:t>202</w:t>
      </w:r>
      <w:r>
        <w:rPr>
          <w:rFonts w:hint="eastAsia" w:cs="Times New Roman"/>
          <w:kern w:val="2"/>
          <w:sz w:val="30"/>
          <w:szCs w:val="30"/>
          <w:lang w:val="en-US" w:eastAsia="zh-CN" w:bidi="ar-SA"/>
        </w:rPr>
        <w:t>2</w:t>
      </w:r>
      <w:r>
        <w:rPr>
          <w:rFonts w:hint="eastAsia" w:ascii="Times New Roman" w:hAnsi="Times New Roman" w:eastAsia="宋体" w:cs="Times New Roman"/>
          <w:kern w:val="2"/>
          <w:sz w:val="30"/>
          <w:szCs w:val="30"/>
          <w:lang w:val="en-US" w:eastAsia="zh-CN" w:bidi="ar-SA"/>
        </w:rPr>
        <w:t>年政府性基金预算拨款支出</w:t>
      </w:r>
      <w:r>
        <w:rPr>
          <w:rFonts w:hint="eastAsia" w:cs="Times New Roman"/>
          <w:kern w:val="2"/>
          <w:sz w:val="30"/>
          <w:szCs w:val="30"/>
          <w:lang w:val="en-US" w:eastAsia="zh-CN" w:bidi="ar-SA"/>
        </w:rPr>
        <w:t>0万元</w:t>
      </w:r>
      <w:r>
        <w:rPr>
          <w:rFonts w:hint="eastAsia" w:ascii="Times New Roman" w:hAnsi="Times New Roman" w:eastAsia="宋体" w:cs="Times New Roman"/>
          <w:kern w:val="2"/>
          <w:sz w:val="30"/>
          <w:szCs w:val="30"/>
          <w:lang w:val="en-US" w:eastAsia="zh-CN" w:bidi="ar-SA"/>
        </w:rPr>
        <w:t>。</w:t>
      </w:r>
    </w:p>
    <w:p w14:paraId="358AC880">
      <w:pPr>
        <w:rPr>
          <w:rFonts w:hint="eastAsia" w:ascii="Times New Roman" w:hAnsi="Times New Roman" w:eastAsia="宋体" w:cs="Times New Roman"/>
          <w:b/>
          <w:bCs/>
          <w:kern w:val="2"/>
          <w:sz w:val="32"/>
          <w:szCs w:val="32"/>
          <w:lang w:val="en-US" w:eastAsia="zh-CN" w:bidi="ar-SA"/>
        </w:rPr>
      </w:pPr>
      <w:r>
        <w:rPr>
          <w:rFonts w:hint="eastAsia" w:cs="Times New Roman"/>
          <w:b/>
          <w:bCs/>
          <w:kern w:val="2"/>
          <w:sz w:val="32"/>
          <w:szCs w:val="32"/>
          <w:lang w:val="en-US" w:eastAsia="zh-CN" w:bidi="ar-SA"/>
        </w:rPr>
        <w:t>十</w:t>
      </w:r>
      <w:r>
        <w:rPr>
          <w:rFonts w:hint="eastAsia" w:ascii="Times New Roman" w:hAnsi="Times New Roman" w:eastAsia="宋体" w:cs="Times New Roman"/>
          <w:b/>
          <w:bCs/>
          <w:kern w:val="2"/>
          <w:sz w:val="32"/>
          <w:szCs w:val="32"/>
          <w:lang w:val="en-US" w:eastAsia="zh-CN" w:bidi="ar-SA"/>
        </w:rPr>
        <w:t>、国有资本经营预算支出决算情况说明</w:t>
      </w:r>
    </w:p>
    <w:p w14:paraId="0F071EAA">
      <w:pPr>
        <w:ind w:firstLine="600" w:firstLineChars="200"/>
        <w:rPr>
          <w:sz w:val="24"/>
        </w:rPr>
      </w:pPr>
      <w:r>
        <w:rPr>
          <w:rFonts w:hint="eastAsia" w:ascii="Times New Roman" w:hAnsi="Times New Roman" w:eastAsia="宋体" w:cs="Times New Roman"/>
          <w:kern w:val="2"/>
          <w:sz w:val="30"/>
          <w:szCs w:val="30"/>
          <w:lang w:val="en-US" w:eastAsia="zh-CN" w:bidi="ar-SA"/>
        </w:rPr>
        <w:t>202</w:t>
      </w:r>
      <w:r>
        <w:rPr>
          <w:rFonts w:hint="eastAsia" w:cs="Times New Roman"/>
          <w:kern w:val="2"/>
          <w:sz w:val="30"/>
          <w:szCs w:val="30"/>
          <w:lang w:val="en-US" w:eastAsia="zh-CN" w:bidi="ar-SA"/>
        </w:rPr>
        <w:t>2</w:t>
      </w:r>
      <w:r>
        <w:rPr>
          <w:rFonts w:hint="eastAsia" w:ascii="Times New Roman" w:hAnsi="Times New Roman" w:eastAsia="宋体" w:cs="Times New Roman"/>
          <w:kern w:val="2"/>
          <w:sz w:val="30"/>
          <w:szCs w:val="30"/>
          <w:lang w:val="en-US" w:eastAsia="zh-CN" w:bidi="ar-SA"/>
        </w:rPr>
        <w:t>年国有资本经营预算拨款支出</w:t>
      </w:r>
      <w:r>
        <w:rPr>
          <w:rFonts w:hint="eastAsia" w:cs="Times New Roman"/>
          <w:kern w:val="2"/>
          <w:sz w:val="30"/>
          <w:szCs w:val="30"/>
          <w:lang w:val="en-US" w:eastAsia="zh-CN" w:bidi="ar-SA"/>
        </w:rPr>
        <w:t>0万元</w:t>
      </w:r>
      <w:r>
        <w:rPr>
          <w:rFonts w:hint="eastAsia" w:ascii="Times New Roman" w:hAnsi="Times New Roman" w:eastAsia="宋体" w:cs="Times New Roman"/>
          <w:kern w:val="2"/>
          <w:sz w:val="30"/>
          <w:szCs w:val="30"/>
          <w:lang w:val="en-US" w:eastAsia="zh-CN" w:bidi="ar-SA"/>
        </w:rPr>
        <w:t>。</w:t>
      </w:r>
    </w:p>
    <w:p w14:paraId="7A206C87">
      <w:pPr>
        <w:rPr>
          <w:rFonts w:hint="eastAsia" w:ascii="Times New Roman" w:hAnsi="Times New Roman" w:eastAsia="宋体" w:cs="Times New Roman"/>
          <w:b/>
          <w:bCs/>
          <w:kern w:val="2"/>
          <w:sz w:val="32"/>
          <w:szCs w:val="32"/>
          <w:lang w:val="en-US" w:eastAsia="zh-CN" w:bidi="ar-SA"/>
        </w:rPr>
      </w:pPr>
      <w:r>
        <w:rPr>
          <w:rFonts w:hint="eastAsia" w:cs="Times New Roman"/>
          <w:b/>
          <w:bCs/>
          <w:kern w:val="2"/>
          <w:sz w:val="32"/>
          <w:szCs w:val="32"/>
          <w:lang w:val="en-US" w:eastAsia="zh-CN" w:bidi="ar-SA"/>
        </w:rPr>
        <w:t>十一、</w:t>
      </w:r>
      <w:r>
        <w:rPr>
          <w:rFonts w:hint="eastAsia" w:ascii="Times New Roman" w:hAnsi="Times New Roman" w:eastAsia="宋体" w:cs="Times New Roman"/>
          <w:b/>
          <w:bCs/>
          <w:kern w:val="2"/>
          <w:sz w:val="32"/>
          <w:szCs w:val="32"/>
          <w:lang w:val="en-US" w:eastAsia="zh-CN" w:bidi="ar-SA"/>
        </w:rPr>
        <w:t>其他重要事项的情况说明</w:t>
      </w:r>
    </w:p>
    <w:p w14:paraId="400BA692">
      <w:pPr>
        <w:ind w:firstLine="600" w:firstLineChars="200"/>
        <w:rPr>
          <w:rFonts w:hint="eastAsia" w:ascii="Times New Roman" w:hAnsi="Times New Roman" w:eastAsia="宋体" w:cs="Times New Roman"/>
          <w:kern w:val="2"/>
          <w:sz w:val="30"/>
          <w:szCs w:val="30"/>
          <w:lang w:val="en-US" w:eastAsia="zh-CN" w:bidi="ar-SA"/>
        </w:rPr>
      </w:pPr>
      <w:r>
        <w:rPr>
          <w:rFonts w:hint="eastAsia" w:cs="Times New Roman"/>
          <w:kern w:val="2"/>
          <w:sz w:val="30"/>
          <w:szCs w:val="30"/>
          <w:lang w:val="en-US" w:eastAsia="zh-CN" w:bidi="ar-SA"/>
        </w:rPr>
        <w:t>（一）</w:t>
      </w:r>
      <w:r>
        <w:rPr>
          <w:rFonts w:hint="eastAsia" w:ascii="Times New Roman" w:hAnsi="Times New Roman" w:eastAsia="宋体" w:cs="Times New Roman"/>
          <w:kern w:val="2"/>
          <w:sz w:val="30"/>
          <w:szCs w:val="30"/>
          <w:lang w:val="en-US" w:eastAsia="zh-CN" w:bidi="ar-SA"/>
        </w:rPr>
        <w:t>机关运行经费支出情况</w:t>
      </w:r>
    </w:p>
    <w:p w14:paraId="14644C97">
      <w:pPr>
        <w:ind w:firstLine="600" w:firstLineChars="200"/>
        <w:rPr>
          <w:rFonts w:hint="default" w:ascii="Times New Roman" w:hAnsi="Times New Roman" w:eastAsia="宋体" w:cs="Times New Roman"/>
          <w:color w:val="000000"/>
          <w:kern w:val="2"/>
          <w:sz w:val="30"/>
          <w:szCs w:val="30"/>
          <w:lang w:val="en-US" w:eastAsia="zh-CN" w:bidi="ar-SA"/>
        </w:rPr>
      </w:pPr>
      <w:r>
        <w:rPr>
          <w:rFonts w:hint="eastAsia" w:ascii="Times New Roman" w:hAnsi="Times New Roman" w:eastAsia="宋体" w:cs="Times New Roman"/>
          <w:kern w:val="2"/>
          <w:sz w:val="30"/>
          <w:szCs w:val="30"/>
          <w:lang w:val="en-US" w:eastAsia="zh-CN" w:bidi="ar-SA"/>
        </w:rPr>
        <w:t>202</w:t>
      </w:r>
      <w:r>
        <w:rPr>
          <w:rFonts w:hint="eastAsia" w:cs="Times New Roman"/>
          <w:kern w:val="2"/>
          <w:sz w:val="30"/>
          <w:szCs w:val="30"/>
          <w:lang w:val="en-US" w:eastAsia="zh-CN" w:bidi="ar-SA"/>
        </w:rPr>
        <w:t>2</w:t>
      </w:r>
      <w:r>
        <w:rPr>
          <w:rFonts w:hint="eastAsia" w:ascii="Times New Roman" w:hAnsi="Times New Roman" w:eastAsia="宋体" w:cs="Times New Roman"/>
          <w:kern w:val="2"/>
          <w:sz w:val="30"/>
          <w:szCs w:val="30"/>
          <w:lang w:val="en-US" w:eastAsia="zh-CN" w:bidi="ar-SA"/>
        </w:rPr>
        <w:t>年机关运行经费支出</w:t>
      </w:r>
      <w:r>
        <w:rPr>
          <w:rFonts w:hint="eastAsia" w:cs="Times New Roman"/>
          <w:kern w:val="2"/>
          <w:sz w:val="30"/>
          <w:szCs w:val="30"/>
          <w:lang w:val="en-US" w:eastAsia="zh-CN" w:bidi="ar-SA"/>
        </w:rPr>
        <w:t>19.66万元，</w:t>
      </w:r>
      <w:r>
        <w:rPr>
          <w:rFonts w:hint="eastAsia" w:cs="Times New Roman"/>
          <w:color w:val="000000"/>
          <w:kern w:val="2"/>
          <w:sz w:val="30"/>
          <w:szCs w:val="30"/>
          <w:lang w:val="en-US" w:eastAsia="zh-CN" w:bidi="ar-SA"/>
        </w:rPr>
        <w:t>比2021年减少9.69万元，下降33.02%，主要原因是单位压缩了办公设备购置支出9.69万元。</w:t>
      </w:r>
    </w:p>
    <w:p w14:paraId="44886DE8">
      <w:pPr>
        <w:ind w:firstLine="600" w:firstLineChars="200"/>
        <w:rPr>
          <w:rFonts w:hint="eastAsia" w:ascii="Times New Roman" w:hAnsi="Times New Roman" w:eastAsia="宋体" w:cs="Times New Roman"/>
          <w:kern w:val="2"/>
          <w:sz w:val="30"/>
          <w:szCs w:val="30"/>
          <w:lang w:val="en-US" w:eastAsia="zh-CN" w:bidi="ar-SA"/>
        </w:rPr>
      </w:pPr>
      <w:r>
        <w:rPr>
          <w:rFonts w:hint="eastAsia" w:cs="Times New Roman"/>
          <w:kern w:val="2"/>
          <w:sz w:val="30"/>
          <w:szCs w:val="30"/>
          <w:lang w:val="en-US" w:eastAsia="zh-CN" w:bidi="ar-SA"/>
        </w:rPr>
        <w:t>（二）</w:t>
      </w:r>
      <w:r>
        <w:rPr>
          <w:rFonts w:hint="eastAsia" w:ascii="Times New Roman" w:hAnsi="Times New Roman" w:eastAsia="宋体" w:cs="Times New Roman"/>
          <w:kern w:val="2"/>
          <w:sz w:val="30"/>
          <w:szCs w:val="30"/>
          <w:lang w:val="en-US" w:eastAsia="zh-CN" w:bidi="ar-SA"/>
        </w:rPr>
        <w:t>政府采购支出情况</w:t>
      </w:r>
    </w:p>
    <w:p w14:paraId="75B70DD7">
      <w:pPr>
        <w:ind w:firstLine="600" w:firstLineChars="200"/>
        <w:rPr>
          <w:rFonts w:hint="eastAsia"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202</w:t>
      </w:r>
      <w:r>
        <w:rPr>
          <w:rFonts w:hint="eastAsia" w:cs="Times New Roman"/>
          <w:kern w:val="2"/>
          <w:sz w:val="30"/>
          <w:szCs w:val="30"/>
          <w:lang w:val="en-US" w:eastAsia="zh-CN" w:bidi="ar-SA"/>
        </w:rPr>
        <w:t>2</w:t>
      </w:r>
      <w:r>
        <w:rPr>
          <w:rFonts w:hint="eastAsia" w:ascii="Times New Roman" w:hAnsi="Times New Roman" w:eastAsia="宋体" w:cs="Times New Roman"/>
          <w:kern w:val="2"/>
          <w:sz w:val="30"/>
          <w:szCs w:val="30"/>
          <w:lang w:val="en-US" w:eastAsia="zh-CN" w:bidi="ar-SA"/>
        </w:rPr>
        <w:t>年，政府采购支出总额0万元，其中：政府采购货物支出0万元、政府采购工程支出0万元、政府采购服务支出0万元。授予中小企业合同金额</w:t>
      </w:r>
      <w:r>
        <w:rPr>
          <w:rFonts w:hint="eastAsia" w:cs="Times New Roman"/>
          <w:kern w:val="2"/>
          <w:sz w:val="30"/>
          <w:szCs w:val="30"/>
          <w:lang w:val="en-US" w:eastAsia="zh-CN" w:bidi="ar-SA"/>
        </w:rPr>
        <w:t>0</w:t>
      </w:r>
      <w:r>
        <w:rPr>
          <w:rFonts w:hint="eastAsia" w:ascii="Times New Roman" w:hAnsi="Times New Roman" w:eastAsia="宋体" w:cs="Times New Roman"/>
          <w:kern w:val="2"/>
          <w:sz w:val="30"/>
          <w:szCs w:val="30"/>
          <w:lang w:val="en-US" w:eastAsia="zh-CN" w:bidi="ar-SA"/>
        </w:rPr>
        <w:t>万元，占政府采购支出总额的</w:t>
      </w:r>
      <w:r>
        <w:rPr>
          <w:rFonts w:hint="eastAsia" w:cs="Times New Roman"/>
          <w:kern w:val="2"/>
          <w:sz w:val="30"/>
          <w:szCs w:val="30"/>
          <w:lang w:val="en-US" w:eastAsia="zh-CN" w:bidi="ar-SA"/>
        </w:rPr>
        <w:t>0</w:t>
      </w:r>
      <w:r>
        <w:rPr>
          <w:rFonts w:hint="eastAsia" w:ascii="Times New Roman" w:hAnsi="Times New Roman" w:eastAsia="宋体" w:cs="Times New Roman"/>
          <w:kern w:val="2"/>
          <w:sz w:val="30"/>
          <w:szCs w:val="30"/>
          <w:lang w:val="en-US" w:eastAsia="zh-CN" w:bidi="ar-SA"/>
        </w:rPr>
        <w:t>%，其中：授予小微企业合同金额</w:t>
      </w:r>
      <w:r>
        <w:rPr>
          <w:rFonts w:hint="eastAsia" w:cs="Times New Roman"/>
          <w:kern w:val="2"/>
          <w:sz w:val="30"/>
          <w:szCs w:val="30"/>
          <w:lang w:val="en-US" w:eastAsia="zh-CN" w:bidi="ar-SA"/>
        </w:rPr>
        <w:t>0</w:t>
      </w:r>
      <w:r>
        <w:rPr>
          <w:rFonts w:hint="eastAsia" w:ascii="Times New Roman" w:hAnsi="Times New Roman" w:eastAsia="宋体" w:cs="Times New Roman"/>
          <w:kern w:val="2"/>
          <w:sz w:val="30"/>
          <w:szCs w:val="30"/>
          <w:lang w:val="en-US" w:eastAsia="zh-CN" w:bidi="ar-SA"/>
        </w:rPr>
        <w:t>万元，占政府采购支出总额的</w:t>
      </w:r>
      <w:r>
        <w:rPr>
          <w:rFonts w:hint="eastAsia" w:cs="Times New Roman"/>
          <w:kern w:val="2"/>
          <w:sz w:val="30"/>
          <w:szCs w:val="30"/>
          <w:lang w:val="en-US" w:eastAsia="zh-CN" w:bidi="ar-SA"/>
        </w:rPr>
        <w:t>0</w:t>
      </w:r>
      <w:r>
        <w:rPr>
          <w:rFonts w:hint="eastAsia" w:ascii="Times New Roman" w:hAnsi="Times New Roman" w:eastAsia="宋体" w:cs="Times New Roman"/>
          <w:kern w:val="2"/>
          <w:sz w:val="30"/>
          <w:szCs w:val="30"/>
          <w:lang w:val="en-US" w:eastAsia="zh-CN" w:bidi="ar-SA"/>
        </w:rPr>
        <w:t>%。</w:t>
      </w:r>
    </w:p>
    <w:p w14:paraId="3085E0FC">
      <w:pPr>
        <w:ind w:firstLine="600" w:firstLineChars="200"/>
        <w:rPr>
          <w:rFonts w:hint="eastAsia" w:ascii="Times New Roman" w:hAnsi="Times New Roman" w:eastAsia="宋体" w:cs="Times New Roman"/>
          <w:kern w:val="2"/>
          <w:sz w:val="30"/>
          <w:szCs w:val="30"/>
          <w:lang w:val="en-US" w:eastAsia="zh-CN" w:bidi="ar-SA"/>
        </w:rPr>
      </w:pPr>
      <w:r>
        <w:rPr>
          <w:rFonts w:hint="eastAsia" w:cs="Times New Roman"/>
          <w:kern w:val="2"/>
          <w:sz w:val="30"/>
          <w:szCs w:val="30"/>
          <w:lang w:val="en-US" w:eastAsia="zh-CN" w:bidi="ar-SA"/>
        </w:rPr>
        <w:t>（三）</w:t>
      </w:r>
      <w:r>
        <w:rPr>
          <w:rFonts w:hint="eastAsia" w:ascii="Times New Roman" w:hAnsi="Times New Roman" w:eastAsia="宋体" w:cs="Times New Roman"/>
          <w:kern w:val="2"/>
          <w:sz w:val="30"/>
          <w:szCs w:val="30"/>
          <w:lang w:val="en-US" w:eastAsia="zh-CN" w:bidi="ar-SA"/>
        </w:rPr>
        <w:t>国有资产占有使用情况</w:t>
      </w:r>
    </w:p>
    <w:p w14:paraId="360889D1">
      <w:pPr>
        <w:ind w:firstLine="600" w:firstLineChars="200"/>
        <w:rPr>
          <w:rFonts w:hint="eastAsia" w:ascii="Times New Roman" w:hAnsi="Times New Roman" w:eastAsia="宋体"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 xml:space="preserve">  截至202</w:t>
      </w:r>
      <w:r>
        <w:rPr>
          <w:rFonts w:hint="eastAsia" w:cs="Times New Roman"/>
          <w:kern w:val="2"/>
          <w:sz w:val="30"/>
          <w:szCs w:val="30"/>
          <w:lang w:val="en-US" w:eastAsia="zh-CN" w:bidi="ar-SA"/>
        </w:rPr>
        <w:t>2</w:t>
      </w:r>
      <w:r>
        <w:rPr>
          <w:rFonts w:hint="eastAsia" w:ascii="Times New Roman" w:hAnsi="Times New Roman" w:eastAsia="宋体" w:cs="Times New Roman"/>
          <w:kern w:val="2"/>
          <w:sz w:val="30"/>
          <w:szCs w:val="30"/>
          <w:lang w:val="en-US" w:eastAsia="zh-CN" w:bidi="ar-SA"/>
        </w:rPr>
        <w:t>年12月31日，本单位</w:t>
      </w:r>
      <w:r>
        <w:rPr>
          <w:rFonts w:hint="eastAsia" w:cs="Times New Roman"/>
          <w:kern w:val="2"/>
          <w:sz w:val="30"/>
          <w:szCs w:val="30"/>
          <w:lang w:val="en-US" w:eastAsia="zh-CN" w:bidi="ar-SA"/>
        </w:rPr>
        <w:t>共有车辆1辆，其中：主要领导干部用车0辆、机要通信用车0辆、应急保障用车0辆、其他用车1辆，其他用车主要是</w:t>
      </w:r>
      <w:r>
        <w:rPr>
          <w:rFonts w:hint="eastAsia" w:ascii="Times New Roman" w:hAnsi="Times New Roman" w:eastAsia="宋体" w:cs="Times New Roman"/>
          <w:kern w:val="2"/>
          <w:sz w:val="30"/>
          <w:szCs w:val="30"/>
          <w:lang w:val="en-US" w:eastAsia="zh-CN" w:bidi="ar-SA"/>
        </w:rPr>
        <w:t>救助专用。</w:t>
      </w:r>
    </w:p>
    <w:p w14:paraId="2E484CAE">
      <w:pPr>
        <w:ind w:firstLine="600" w:firstLineChars="200"/>
        <w:rPr>
          <w:rFonts w:hint="default" w:ascii="Times New Roman" w:hAnsi="Times New Roman" w:eastAsia="宋体" w:cs="Times New Roman"/>
          <w:kern w:val="2"/>
          <w:sz w:val="30"/>
          <w:szCs w:val="30"/>
          <w:lang w:val="en-US" w:eastAsia="zh-CN" w:bidi="ar-SA"/>
        </w:rPr>
      </w:pPr>
      <w:r>
        <w:rPr>
          <w:rFonts w:hint="eastAsia" w:cs="Times New Roman"/>
          <w:kern w:val="2"/>
          <w:sz w:val="30"/>
          <w:szCs w:val="30"/>
          <w:lang w:val="en-US" w:eastAsia="zh-CN" w:bidi="ar-SA"/>
        </w:rPr>
        <w:t>单价100万元以上专用设备0台。</w:t>
      </w:r>
    </w:p>
    <w:p w14:paraId="5AA8A6C5">
      <w:pPr>
        <w:ind w:firstLine="600" w:firstLineChars="200"/>
        <w:rPr>
          <w:rFonts w:hint="eastAsia" w:ascii="Times New Roman" w:hAnsi="Times New Roman" w:eastAsia="宋体"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（四）预算绩效管理情况</w:t>
      </w:r>
    </w:p>
    <w:p w14:paraId="7559CE40">
      <w:pPr>
        <w:ind w:firstLine="600" w:firstLineChars="200"/>
        <w:rPr>
          <w:rFonts w:hint="eastAsia"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根据预算绩效管理要求，本单位在</w:t>
      </w:r>
      <w:r>
        <w:rPr>
          <w:rFonts w:hint="eastAsia" w:cs="Times New Roman"/>
          <w:kern w:val="2"/>
          <w:sz w:val="30"/>
          <w:szCs w:val="30"/>
          <w:lang w:val="en-US" w:eastAsia="zh-CN" w:bidi="ar-SA"/>
        </w:rPr>
        <w:t>2022年度预算编制阶段</w:t>
      </w:r>
      <w:r>
        <w:rPr>
          <w:rFonts w:hint="eastAsia" w:ascii="Times New Roman" w:hAnsi="Times New Roman" w:eastAsia="宋体" w:cs="Times New Roman"/>
          <w:kern w:val="2"/>
          <w:sz w:val="30"/>
          <w:szCs w:val="30"/>
          <w:lang w:val="en-US" w:eastAsia="zh-CN" w:bidi="ar-SA"/>
        </w:rPr>
        <w:t>，组织对流浪乞讨人员救助资金、弃婴生活费、弃婴护理费、救助对象医疗费4个项目开展</w:t>
      </w:r>
      <w:r>
        <w:rPr>
          <w:rFonts w:hint="eastAsia" w:cs="Times New Roman"/>
          <w:kern w:val="2"/>
          <w:sz w:val="30"/>
          <w:szCs w:val="30"/>
          <w:lang w:val="en-US" w:eastAsia="zh-CN" w:bidi="ar-SA"/>
        </w:rPr>
        <w:t>预算事前</w:t>
      </w:r>
      <w:r>
        <w:rPr>
          <w:rFonts w:hint="eastAsia" w:ascii="Times New Roman" w:hAnsi="Times New Roman" w:eastAsia="宋体" w:cs="Times New Roman"/>
          <w:kern w:val="2"/>
          <w:sz w:val="30"/>
          <w:szCs w:val="30"/>
          <w:lang w:val="en-US" w:eastAsia="zh-CN" w:bidi="ar-SA"/>
        </w:rPr>
        <w:t>绩效</w:t>
      </w:r>
      <w:r>
        <w:rPr>
          <w:rFonts w:hint="eastAsia" w:cs="Times New Roman"/>
          <w:kern w:val="2"/>
          <w:sz w:val="30"/>
          <w:szCs w:val="30"/>
          <w:lang w:val="en-US" w:eastAsia="zh-CN" w:bidi="ar-SA"/>
        </w:rPr>
        <w:t>评估</w:t>
      </w:r>
      <w:r>
        <w:rPr>
          <w:rFonts w:hint="eastAsia" w:ascii="Times New Roman" w:hAnsi="Times New Roman" w:eastAsia="宋体" w:cs="Times New Roman"/>
          <w:kern w:val="2"/>
          <w:sz w:val="30"/>
          <w:szCs w:val="30"/>
          <w:lang w:val="en-US" w:eastAsia="zh-CN" w:bidi="ar-SA"/>
        </w:rPr>
        <w:t>，</w:t>
      </w:r>
      <w:r>
        <w:rPr>
          <w:rFonts w:hint="eastAsia" w:cs="Times New Roman"/>
          <w:kern w:val="2"/>
          <w:sz w:val="30"/>
          <w:szCs w:val="30"/>
          <w:lang w:val="en-US" w:eastAsia="zh-CN" w:bidi="ar-SA"/>
        </w:rPr>
        <w:t>对流浪乞讨人员救助资金、弃婴生活费、弃婴护理费、救助对象医疗费4个项目编曲制了绩效目标，预算执行过程中，选取了流浪乞讨人员救助资金、弃婴生活费、弃婴护理费及救助对象医疗费4个项目全部开展绩效监控。</w:t>
      </w:r>
    </w:p>
    <w:p w14:paraId="3DA431BD">
      <w:pPr>
        <w:ind w:firstLine="600" w:firstLineChars="200"/>
        <w:rPr>
          <w:rFonts w:hint="default" w:cs="Times New Roman"/>
          <w:kern w:val="2"/>
          <w:sz w:val="30"/>
          <w:szCs w:val="30"/>
          <w:lang w:val="en-US" w:eastAsia="zh-CN" w:bidi="ar-SA"/>
        </w:rPr>
      </w:pPr>
      <w:r>
        <w:rPr>
          <w:rFonts w:hint="eastAsia" w:cs="Times New Roman"/>
          <w:kern w:val="2"/>
          <w:sz w:val="30"/>
          <w:szCs w:val="30"/>
          <w:lang w:val="en-US" w:eastAsia="zh-CN" w:bidi="ar-SA"/>
        </w:rPr>
        <w:t>组织对2022年度的一般公共预算、政府性基金预算、国有资本经营预算、社会保险基金预算以及资本资产、债券资金、政府采购等全面开展绩效自评，形成2022年救助福利中心整体绩效自评报告、2022年救助福利中心流浪乞讨人员救助资金项目支绩效自评报告、2022年弃婴生活费项目支出绩效自评报告、2022年弃婴护理费项目支出绩效自评报告、2022年救助对象医疗费项目支出绩效自评报告。其中，2022年部门整体绩效自评得分为92分；2022年流浪乞讨人员救助资金项目绩效自评得分94分；2022年弃婴生活费项目绩效自评得分91分；2022年弃婴护理费项目绩效自评得分91分；2022年救助对象医疗费项目绩效自评得分90分。绩效自评报告详见第四部分附件。</w:t>
      </w:r>
    </w:p>
    <w:p w14:paraId="6497796A">
      <w:pPr>
        <w:rPr>
          <w:sz w:val="24"/>
        </w:rPr>
      </w:pPr>
    </w:p>
    <w:p w14:paraId="13C45008">
      <w:pPr>
        <w:jc w:val="both"/>
        <w:rPr>
          <w:rFonts w:hint="eastAsia"/>
          <w:b/>
          <w:bCs/>
          <w:sz w:val="44"/>
          <w:szCs w:val="44"/>
        </w:rPr>
      </w:pPr>
    </w:p>
    <w:p w14:paraId="51DD1BAE">
      <w:pPr>
        <w:jc w:val="center"/>
        <w:rPr>
          <w:b/>
          <w:bCs/>
          <w:sz w:val="44"/>
          <w:szCs w:val="44"/>
        </w:rPr>
      </w:pPr>
      <w:r>
        <w:rPr>
          <w:rFonts w:hint="eastAsia"/>
          <w:b/>
          <w:bCs/>
          <w:sz w:val="44"/>
          <w:szCs w:val="44"/>
        </w:rPr>
        <w:t>第三部分    名词解释</w:t>
      </w:r>
    </w:p>
    <w:p w14:paraId="51BBE228"/>
    <w:p w14:paraId="163486C6">
      <w:pPr>
        <w:pStyle w:val="15"/>
        <w:numPr>
          <w:ilvl w:val="0"/>
          <w:numId w:val="6"/>
        </w:numPr>
        <w:ind w:firstLineChars="0"/>
        <w:rPr>
          <w:rFonts w:hint="eastAsia" w:ascii="Times New Roman" w:hAnsi="Times New Roman" w:eastAsia="宋体"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财政拨款收入：指单位从同级财政部门取得的财政预算资金。、</w:t>
      </w:r>
    </w:p>
    <w:p w14:paraId="17E9FEFB">
      <w:pPr>
        <w:pStyle w:val="15"/>
        <w:numPr>
          <w:ilvl w:val="0"/>
          <w:numId w:val="6"/>
        </w:numPr>
        <w:ind w:firstLineChars="0"/>
        <w:rPr>
          <w:rFonts w:hint="eastAsia" w:ascii="Times New Roman" w:hAnsi="Times New Roman" w:eastAsia="宋体"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年初结转和结余：指以前年度尚未完成、结转到本年按有关规定继续使用的资金。</w:t>
      </w:r>
    </w:p>
    <w:p w14:paraId="04AFB4B6">
      <w:pPr>
        <w:pStyle w:val="15"/>
        <w:numPr>
          <w:ilvl w:val="0"/>
          <w:numId w:val="6"/>
        </w:numPr>
        <w:ind w:firstLineChars="0"/>
        <w:rPr>
          <w:rFonts w:hint="eastAsia" w:ascii="Times New Roman" w:hAnsi="Times New Roman" w:eastAsia="宋体"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社会保障和就业支出（类）民政管理事务（款）其他民政管理事务支出（项）：</w:t>
      </w:r>
      <w:r>
        <w:rPr>
          <w:rFonts w:hint="eastAsia" w:cs="Times New Roman"/>
          <w:kern w:val="2"/>
          <w:sz w:val="30"/>
          <w:szCs w:val="30"/>
          <w:lang w:val="en-US" w:eastAsia="zh-CN" w:bidi="ar-SA"/>
        </w:rPr>
        <w:t>指其他民政相关事业支出。</w:t>
      </w:r>
    </w:p>
    <w:p w14:paraId="3258BC2A">
      <w:pPr>
        <w:pStyle w:val="15"/>
        <w:numPr>
          <w:ilvl w:val="0"/>
          <w:numId w:val="6"/>
        </w:numPr>
        <w:ind w:firstLineChars="0"/>
        <w:rPr>
          <w:rFonts w:hint="eastAsia" w:ascii="Times New Roman" w:hAnsi="Times New Roman" w:eastAsia="宋体"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社会保障和就业支出（类）其他社会保障和就业支出（款）其他社会保障和就业支出（项）：</w:t>
      </w:r>
      <w:r>
        <w:rPr>
          <w:rFonts w:hint="eastAsia" w:cs="Times New Roman"/>
          <w:kern w:val="2"/>
          <w:sz w:val="30"/>
          <w:szCs w:val="30"/>
          <w:lang w:val="en-US" w:eastAsia="zh-CN" w:bidi="ar-SA"/>
        </w:rPr>
        <w:t>指</w:t>
      </w:r>
      <w:r>
        <w:rPr>
          <w:rFonts w:hint="eastAsia" w:ascii="Times New Roman" w:hAnsi="Times New Roman" w:eastAsia="宋体" w:cs="Times New Roman"/>
          <w:kern w:val="2"/>
          <w:sz w:val="30"/>
          <w:szCs w:val="30"/>
          <w:lang w:val="en-US" w:eastAsia="zh-CN" w:bidi="ar-SA"/>
        </w:rPr>
        <w:t>其他社会保障和就业支出。</w:t>
      </w:r>
    </w:p>
    <w:p w14:paraId="2F4041B1">
      <w:pPr>
        <w:pStyle w:val="15"/>
        <w:numPr>
          <w:ilvl w:val="0"/>
          <w:numId w:val="6"/>
        </w:numPr>
        <w:ind w:firstLineChars="0"/>
        <w:rPr>
          <w:rFonts w:hint="eastAsia" w:ascii="Times New Roman" w:hAnsi="Times New Roman" w:eastAsia="宋体"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社会保障和就业支出（类）行政事业单位养老支出（款）机关事业单位基本养老保险缴费支出（项）：指反映机关事业单位实施养老保险制度由单位缴纳的基本养老保险费支出。</w:t>
      </w:r>
    </w:p>
    <w:p w14:paraId="68153451">
      <w:pPr>
        <w:pStyle w:val="15"/>
        <w:numPr>
          <w:ilvl w:val="0"/>
          <w:numId w:val="6"/>
        </w:numPr>
        <w:ind w:firstLineChars="0"/>
        <w:rPr>
          <w:rFonts w:hint="eastAsia" w:ascii="Times New Roman" w:hAnsi="Times New Roman" w:eastAsia="宋体"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社会保障和就业支出（类）行政事业单位养老支出（款）机关事业单位职业年金缴费支出（项）：指反映机关事业单位实施养老保险制度由单位实际缴纳的职业年金支出。</w:t>
      </w:r>
    </w:p>
    <w:p w14:paraId="1968AA21">
      <w:pPr>
        <w:pStyle w:val="15"/>
        <w:numPr>
          <w:ilvl w:val="0"/>
          <w:numId w:val="6"/>
        </w:numPr>
        <w:ind w:firstLineChars="0"/>
        <w:rPr>
          <w:rFonts w:hint="eastAsia" w:ascii="Times New Roman" w:hAnsi="Times New Roman" w:eastAsia="宋体"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社会保障和就业支出（类）社会福利（款）社会福利事业单位（项）：指反映民政部门举办的社会福利事业单位的支出，以及对集体社会福利事业单位的补助费。</w:t>
      </w:r>
    </w:p>
    <w:p w14:paraId="554340AC">
      <w:pPr>
        <w:pStyle w:val="15"/>
        <w:numPr>
          <w:ilvl w:val="0"/>
          <w:numId w:val="6"/>
        </w:numPr>
        <w:ind w:firstLineChars="0"/>
        <w:rPr>
          <w:rFonts w:hint="eastAsia" w:ascii="Times New Roman" w:hAnsi="Times New Roman" w:eastAsia="宋体"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社会保障和就业支出（类）临时救助（款）流浪乞讨人员救助支出（项）：指反映用于生活无着的流浪乞讨人员的救助支出和救助管理机构的运转支出。</w:t>
      </w:r>
    </w:p>
    <w:p w14:paraId="244E4AD0">
      <w:pPr>
        <w:pStyle w:val="15"/>
        <w:numPr>
          <w:ilvl w:val="0"/>
          <w:numId w:val="6"/>
        </w:numPr>
        <w:ind w:firstLineChars="0"/>
        <w:rPr>
          <w:rFonts w:hint="eastAsia" w:ascii="Times New Roman" w:hAnsi="Times New Roman" w:eastAsia="宋体"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卫生健康支出（类）行政事业单位医疗（款）事业单位医疗（项）：指反映财政部门集中安排的事业单位基本医疗保险缴费经费，未参加医疗保险的事业单位的公费医疗经费，按国家规定享受离休人员待遇的医疗经费。</w:t>
      </w:r>
    </w:p>
    <w:p w14:paraId="6B66518A">
      <w:pPr>
        <w:pStyle w:val="15"/>
        <w:numPr>
          <w:ilvl w:val="0"/>
          <w:numId w:val="6"/>
        </w:numPr>
        <w:ind w:firstLineChars="0"/>
        <w:rPr>
          <w:rFonts w:hint="eastAsia" w:ascii="Times New Roman" w:hAnsi="Times New Roman" w:eastAsia="宋体"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住房保障支出（类）住房改革支出（款）住房公积金（项）：指反映行政事业单位按人力资源和社会保障部、财政部规定的基本工资和津贴补贴以及规定比例为职工缴纳的住房公积金。</w:t>
      </w:r>
    </w:p>
    <w:p w14:paraId="718C4237">
      <w:pPr>
        <w:pStyle w:val="15"/>
        <w:numPr>
          <w:ilvl w:val="0"/>
          <w:numId w:val="6"/>
        </w:numPr>
        <w:ind w:firstLineChars="0"/>
        <w:rPr>
          <w:rFonts w:hint="eastAsia" w:ascii="Times New Roman" w:hAnsi="Times New Roman" w:eastAsia="宋体"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基本支出：指为保障机构正常运转、完成日常工作任务而发生的人员支出和公用支出。</w:t>
      </w:r>
    </w:p>
    <w:p w14:paraId="52BF9780">
      <w:pPr>
        <w:pStyle w:val="15"/>
        <w:numPr>
          <w:ilvl w:val="0"/>
          <w:numId w:val="6"/>
        </w:numPr>
        <w:ind w:firstLineChars="0"/>
        <w:rPr>
          <w:rFonts w:hint="eastAsia" w:ascii="Times New Roman" w:hAnsi="Times New Roman" w:eastAsia="宋体" w:cs="Times New Roman"/>
          <w:kern w:val="2"/>
          <w:sz w:val="30"/>
          <w:szCs w:val="30"/>
          <w:lang w:val="en-US" w:eastAsia="zh-CN" w:bidi="ar-SA"/>
        </w:rPr>
      </w:pPr>
      <w:r>
        <w:rPr>
          <w:rFonts w:hint="eastAsia" w:ascii="Times New Roman" w:hAnsi="Times New Roman" w:eastAsia="宋体" w:cs="Times New Roman"/>
          <w:kern w:val="2"/>
          <w:sz w:val="30"/>
          <w:szCs w:val="30"/>
          <w:lang w:val="en-US" w:eastAsia="zh-CN" w:bidi="ar-SA"/>
        </w:rPr>
        <w:t>项目支出：指在基本支出之外为完成特定行政任务和事业发展目标所发生的支出。</w:t>
      </w:r>
    </w:p>
    <w:p w14:paraId="5EA0FCCA">
      <w:pPr>
        <w:pStyle w:val="15"/>
        <w:numPr>
          <w:ilvl w:val="0"/>
          <w:numId w:val="6"/>
        </w:numPr>
        <w:ind w:firstLineChars="0"/>
        <w:rPr>
          <w:rFonts w:hint="eastAsia" w:ascii="Times New Roman" w:hAnsi="Times New Roman" w:eastAsia="宋体" w:cs="Times New Roman"/>
          <w:kern w:val="2"/>
          <w:sz w:val="30"/>
          <w:szCs w:val="30"/>
          <w:lang w:val="en-US" w:eastAsia="zh-CN" w:bidi="ar-SA"/>
        </w:rPr>
      </w:pPr>
      <w:r>
        <w:rPr>
          <w:rFonts w:hint="eastAsia" w:cs="Times New Roman"/>
          <w:kern w:val="2"/>
          <w:sz w:val="30"/>
          <w:szCs w:val="30"/>
          <w:lang w:val="en-US" w:eastAsia="zh-CN" w:bidi="ar-SA"/>
        </w:rPr>
        <w:t>“三公”经费</w:t>
      </w:r>
      <w:r>
        <w:rPr>
          <w:rFonts w:hint="eastAsia" w:ascii="Times New Roman" w:hAnsi="Times New Roman" w:eastAsia="宋体" w:cs="Times New Roman"/>
          <w:kern w:val="2"/>
          <w:sz w:val="30"/>
          <w:szCs w:val="30"/>
          <w:lang w:val="en-US" w:eastAsia="zh-CN" w:bidi="ar-SA"/>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51A26C2">
      <w:pPr>
        <w:pStyle w:val="15"/>
        <w:numPr>
          <w:ilvl w:val="0"/>
          <w:numId w:val="6"/>
        </w:numPr>
        <w:ind w:firstLineChars="0"/>
        <w:rPr>
          <w:rFonts w:hint="eastAsia" w:ascii="Times New Roman" w:hAnsi="Times New Roman" w:eastAsia="宋体" w:cs="Times New Roman"/>
          <w:kern w:val="2"/>
          <w:sz w:val="30"/>
          <w:szCs w:val="30"/>
          <w:lang w:val="en-US" w:eastAsia="zh-CN" w:bidi="ar-SA"/>
        </w:rPr>
      </w:pPr>
      <w:r>
        <w:rPr>
          <w:rFonts w:hint="eastAsia" w:cs="Times New Roman"/>
          <w:kern w:val="2"/>
          <w:sz w:val="30"/>
          <w:szCs w:val="30"/>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EE1AFDD">
      <w:pPr>
        <w:pStyle w:val="15"/>
        <w:numPr>
          <w:ilvl w:val="0"/>
          <w:numId w:val="6"/>
        </w:numPr>
        <w:ind w:firstLineChars="0"/>
        <w:rPr>
          <w:rFonts w:hint="eastAsia"/>
          <w:sz w:val="32"/>
          <w:szCs w:val="32"/>
        </w:rPr>
      </w:pPr>
      <w:r>
        <w:rPr>
          <w:rFonts w:hint="eastAsia" w:ascii="Times New Roman" w:hAnsi="Times New Roman" w:eastAsia="宋体" w:cs="Times New Roman"/>
          <w:kern w:val="2"/>
          <w:sz w:val="30"/>
          <w:szCs w:val="30"/>
          <w:lang w:val="en-US" w:eastAsia="zh-CN" w:bidi="ar-SA"/>
        </w:rPr>
        <w:t>办公设备购置：反映用于购置并按财务会计制度规定纳入固定资产核算范围的办公家具和办公设备的支出，以及按规定提取的修购基金。</w:t>
      </w:r>
    </w:p>
    <w:p w14:paraId="1BB5B186">
      <w:pPr>
        <w:pStyle w:val="5"/>
        <w:ind w:firstLine="2209" w:firstLineChars="500"/>
        <w:jc w:val="both"/>
        <w:rPr>
          <w:rFonts w:hint="eastAsia"/>
          <w:sz w:val="44"/>
          <w:szCs w:val="44"/>
        </w:rPr>
      </w:pPr>
    </w:p>
    <w:p w14:paraId="20399C0B">
      <w:pPr>
        <w:pStyle w:val="5"/>
        <w:ind w:firstLine="2209" w:firstLineChars="500"/>
        <w:jc w:val="both"/>
        <w:rPr>
          <w:rFonts w:hint="eastAsia"/>
          <w:sz w:val="44"/>
          <w:szCs w:val="44"/>
        </w:rPr>
      </w:pPr>
    </w:p>
    <w:p w14:paraId="6788D719">
      <w:pPr>
        <w:rPr>
          <w:rFonts w:hint="eastAsia"/>
        </w:rPr>
      </w:pPr>
    </w:p>
    <w:p w14:paraId="41A944C6">
      <w:pPr>
        <w:rPr>
          <w:rFonts w:hint="eastAsia"/>
        </w:rPr>
      </w:pPr>
    </w:p>
    <w:p w14:paraId="73B3328C">
      <w:pPr>
        <w:pStyle w:val="5"/>
        <w:ind w:firstLine="2209" w:firstLineChars="500"/>
        <w:jc w:val="both"/>
      </w:pPr>
      <w:r>
        <w:rPr>
          <w:rFonts w:hint="eastAsia"/>
          <w:sz w:val="44"/>
          <w:szCs w:val="44"/>
        </w:rPr>
        <w:t>第四部分    附</w:t>
      </w:r>
      <w:r>
        <w:rPr>
          <w:rFonts w:hint="eastAsia"/>
          <w:sz w:val="44"/>
          <w:szCs w:val="44"/>
          <w:lang w:val="en-US" w:eastAsia="zh-CN"/>
        </w:rPr>
        <w:t xml:space="preserve">  </w:t>
      </w:r>
      <w:r>
        <w:rPr>
          <w:rFonts w:hint="eastAsia"/>
          <w:sz w:val="44"/>
          <w:szCs w:val="44"/>
        </w:rPr>
        <w:t>件</w:t>
      </w:r>
    </w:p>
    <w:p w14:paraId="2D5AB04E">
      <w:pPr>
        <w:spacing w:line="600" w:lineRule="exact"/>
        <w:jc w:val="both"/>
        <w:outlineLvl w:val="0"/>
        <w:rPr>
          <w:rFonts w:hint="eastAsia" w:ascii="宋体" w:hAnsi="宋体" w:cs="宋体"/>
          <w:color w:val="000000"/>
          <w:sz w:val="30"/>
          <w:szCs w:val="30"/>
          <w:lang w:val="en-US" w:eastAsia="zh-CN"/>
        </w:rPr>
      </w:pPr>
      <w:bookmarkStart w:id="11" w:name="_Toc15396618"/>
      <w:r>
        <w:rPr>
          <w:rFonts w:hint="eastAsia" w:ascii="宋体" w:hAnsi="宋体" w:cs="宋体"/>
          <w:color w:val="000000"/>
          <w:sz w:val="30"/>
          <w:szCs w:val="30"/>
          <w:lang w:eastAsia="zh-CN"/>
        </w:rPr>
        <w:t>附件</w:t>
      </w:r>
      <w:r>
        <w:rPr>
          <w:rFonts w:hint="eastAsia" w:ascii="宋体" w:hAnsi="宋体" w:cs="宋体"/>
          <w:color w:val="000000"/>
          <w:sz w:val="30"/>
          <w:szCs w:val="30"/>
          <w:lang w:val="en-US" w:eastAsia="zh-CN"/>
        </w:rPr>
        <w:t>1</w:t>
      </w:r>
    </w:p>
    <w:p w14:paraId="685B80F4">
      <w:pPr>
        <w:spacing w:line="600" w:lineRule="exact"/>
        <w:jc w:val="both"/>
        <w:outlineLvl w:val="0"/>
        <w:rPr>
          <w:rFonts w:hint="default" w:ascii="宋体" w:hAnsi="宋体" w:cs="宋体"/>
          <w:color w:val="000000"/>
          <w:sz w:val="30"/>
          <w:szCs w:val="30"/>
          <w:lang w:val="en-US" w:eastAsia="zh-CN"/>
        </w:rPr>
      </w:pPr>
    </w:p>
    <w:p w14:paraId="52F6DA8F">
      <w:pPr>
        <w:jc w:val="center"/>
        <w:rPr>
          <w:rFonts w:hint="eastAsia" w:ascii="仿宋" w:hAnsi="仿宋" w:eastAsia="仿宋"/>
          <w:b/>
          <w:sz w:val="48"/>
          <w:szCs w:val="48"/>
        </w:rPr>
      </w:pPr>
      <w:r>
        <w:rPr>
          <w:rFonts w:hint="eastAsia" w:ascii="仿宋" w:hAnsi="仿宋" w:eastAsia="仿宋"/>
          <w:b/>
          <w:sz w:val="48"/>
          <w:szCs w:val="48"/>
        </w:rPr>
        <w:t>岳池县社会救助福利中心</w:t>
      </w:r>
    </w:p>
    <w:p w14:paraId="7AE3517A">
      <w:pPr>
        <w:jc w:val="center"/>
        <w:rPr>
          <w:rFonts w:hint="eastAsia" w:ascii="仿宋" w:hAnsi="仿宋" w:eastAsia="仿宋"/>
          <w:b/>
          <w:sz w:val="48"/>
          <w:szCs w:val="48"/>
        </w:rPr>
      </w:pPr>
      <w:r>
        <w:rPr>
          <w:rFonts w:hint="eastAsia" w:ascii="仿宋" w:hAnsi="仿宋" w:eastAsia="仿宋"/>
          <w:b/>
          <w:sz w:val="48"/>
          <w:szCs w:val="48"/>
        </w:rPr>
        <w:t>202</w:t>
      </w:r>
      <w:r>
        <w:rPr>
          <w:rFonts w:hint="eastAsia" w:ascii="仿宋" w:hAnsi="仿宋" w:eastAsia="仿宋"/>
          <w:b/>
          <w:sz w:val="48"/>
          <w:szCs w:val="48"/>
          <w:lang w:val="en-US" w:eastAsia="zh-CN"/>
        </w:rPr>
        <w:t>2</w:t>
      </w:r>
      <w:r>
        <w:rPr>
          <w:rFonts w:hint="eastAsia" w:ascii="仿宋" w:hAnsi="仿宋" w:eastAsia="仿宋"/>
          <w:b/>
          <w:sz w:val="48"/>
          <w:szCs w:val="48"/>
        </w:rPr>
        <w:t>年部门整体支出绩效评价报告</w:t>
      </w:r>
    </w:p>
    <w:p w14:paraId="7E17CBBB">
      <w:pPr>
        <w:ind w:firstLine="640" w:firstLineChars="200"/>
        <w:rPr>
          <w:rFonts w:hint="eastAsia" w:ascii="仿宋" w:hAnsi="仿宋" w:eastAsia="仿宋"/>
          <w:sz w:val="32"/>
          <w:szCs w:val="32"/>
        </w:rPr>
      </w:pPr>
    </w:p>
    <w:p w14:paraId="1C14DCA4">
      <w:pPr>
        <w:ind w:firstLine="640" w:firstLineChars="200"/>
        <w:rPr>
          <w:rFonts w:hint="eastAsia" w:ascii="仿宋" w:hAnsi="仿宋" w:eastAsia="仿宋"/>
          <w:sz w:val="32"/>
          <w:szCs w:val="32"/>
        </w:rPr>
      </w:pPr>
      <w:r>
        <w:rPr>
          <w:rFonts w:hint="eastAsia" w:ascii="仿宋" w:hAnsi="仿宋" w:eastAsia="仿宋"/>
          <w:sz w:val="32"/>
          <w:szCs w:val="32"/>
        </w:rPr>
        <w:t>为确实做好202</w:t>
      </w:r>
      <w:r>
        <w:rPr>
          <w:rFonts w:hint="eastAsia" w:ascii="仿宋" w:hAnsi="仿宋" w:eastAsia="仿宋"/>
          <w:sz w:val="32"/>
          <w:szCs w:val="32"/>
          <w:lang w:val="en-US" w:eastAsia="zh-CN"/>
        </w:rPr>
        <w:t>2</w:t>
      </w:r>
      <w:r>
        <w:rPr>
          <w:rFonts w:hint="eastAsia" w:ascii="仿宋" w:hAnsi="仿宋" w:eastAsia="仿宋"/>
          <w:sz w:val="32"/>
          <w:szCs w:val="32"/>
        </w:rPr>
        <w:t>年度部门整体支出绩效自评工作，提高财政资金使用效益，根据《岳池县财政局关开展2022年部门（单位）绩效自评工作的通知》（岳财发【202</w:t>
      </w:r>
      <w:r>
        <w:rPr>
          <w:rFonts w:hint="eastAsia" w:ascii="仿宋" w:hAnsi="仿宋" w:eastAsia="仿宋"/>
          <w:sz w:val="32"/>
          <w:szCs w:val="32"/>
          <w:lang w:val="en-US" w:eastAsia="zh-CN"/>
        </w:rPr>
        <w:t>3</w:t>
      </w:r>
      <w:r>
        <w:rPr>
          <w:rFonts w:hint="eastAsia" w:ascii="仿宋" w:hAnsi="仿宋" w:eastAsia="仿宋"/>
          <w:sz w:val="32"/>
          <w:szCs w:val="32"/>
        </w:rPr>
        <w:t>】4</w:t>
      </w:r>
      <w:r>
        <w:rPr>
          <w:rFonts w:hint="eastAsia" w:ascii="仿宋" w:hAnsi="仿宋" w:eastAsia="仿宋"/>
          <w:sz w:val="32"/>
          <w:szCs w:val="32"/>
          <w:lang w:val="en-US" w:eastAsia="zh-CN"/>
        </w:rPr>
        <w:t>9</w:t>
      </w:r>
      <w:r>
        <w:rPr>
          <w:rFonts w:hint="eastAsia" w:ascii="仿宋" w:hAnsi="仿宋" w:eastAsia="仿宋"/>
          <w:sz w:val="32"/>
          <w:szCs w:val="32"/>
        </w:rPr>
        <w:t>号）文件精神，结合实际，我单位对202</w:t>
      </w:r>
      <w:r>
        <w:rPr>
          <w:rFonts w:hint="eastAsia" w:ascii="仿宋" w:hAnsi="仿宋" w:eastAsia="仿宋"/>
          <w:sz w:val="32"/>
          <w:szCs w:val="32"/>
          <w:lang w:val="en-US" w:eastAsia="zh-CN"/>
        </w:rPr>
        <w:t>2</w:t>
      </w:r>
      <w:r>
        <w:rPr>
          <w:rFonts w:hint="eastAsia" w:ascii="仿宋" w:hAnsi="仿宋" w:eastAsia="仿宋"/>
          <w:sz w:val="32"/>
          <w:szCs w:val="32"/>
        </w:rPr>
        <w:t>年度部门整体支出绩效进行了全面综合评价，整体支出的评价重点是厉行节约保运转，降低服务成本，经全面综合评价，现将我单位整体支出绩效自评结果报告如下：</w:t>
      </w:r>
    </w:p>
    <w:p w14:paraId="05894BAF">
      <w:pPr>
        <w:pStyle w:val="15"/>
        <w:numPr>
          <w:ilvl w:val="0"/>
          <w:numId w:val="7"/>
        </w:numPr>
        <w:ind w:firstLineChars="0"/>
        <w:rPr>
          <w:rFonts w:hint="eastAsia" w:ascii="仿宋" w:hAnsi="仿宋" w:eastAsia="仿宋"/>
          <w:sz w:val="32"/>
          <w:szCs w:val="32"/>
        </w:rPr>
      </w:pPr>
      <w:r>
        <w:rPr>
          <w:rFonts w:hint="eastAsia" w:ascii="仿宋" w:hAnsi="仿宋" w:eastAsia="仿宋"/>
          <w:sz w:val="32"/>
          <w:szCs w:val="32"/>
          <w:lang w:eastAsia="zh-CN"/>
        </w:rPr>
        <w:t>部门</w:t>
      </w:r>
      <w:r>
        <w:rPr>
          <w:rFonts w:hint="eastAsia" w:ascii="仿宋" w:hAnsi="仿宋" w:eastAsia="仿宋"/>
          <w:sz w:val="32"/>
          <w:szCs w:val="32"/>
        </w:rPr>
        <w:t>基本</w:t>
      </w:r>
      <w:r>
        <w:rPr>
          <w:rFonts w:hint="eastAsia" w:ascii="仿宋" w:hAnsi="仿宋" w:eastAsia="仿宋"/>
          <w:sz w:val="32"/>
          <w:szCs w:val="32"/>
          <w:lang w:eastAsia="zh-CN"/>
        </w:rPr>
        <w:t>情</w:t>
      </w:r>
      <w:r>
        <w:rPr>
          <w:rFonts w:hint="eastAsia" w:ascii="仿宋" w:hAnsi="仿宋" w:eastAsia="仿宋"/>
          <w:sz w:val="32"/>
          <w:szCs w:val="32"/>
        </w:rPr>
        <w:t>况</w:t>
      </w:r>
    </w:p>
    <w:p w14:paraId="12225F7D">
      <w:pPr>
        <w:pStyle w:val="15"/>
        <w:numPr>
          <w:ilvl w:val="0"/>
          <w:numId w:val="8"/>
        </w:numPr>
        <w:ind w:firstLineChars="0"/>
        <w:rPr>
          <w:rFonts w:hint="eastAsia" w:ascii="仿宋" w:hAnsi="仿宋" w:eastAsia="仿宋"/>
          <w:sz w:val="32"/>
          <w:szCs w:val="32"/>
        </w:rPr>
      </w:pPr>
      <w:r>
        <w:rPr>
          <w:rFonts w:hint="eastAsia" w:ascii="仿宋" w:hAnsi="仿宋" w:eastAsia="仿宋"/>
          <w:sz w:val="32"/>
          <w:szCs w:val="32"/>
        </w:rPr>
        <w:t>机构组成</w:t>
      </w:r>
    </w:p>
    <w:p w14:paraId="3511CA85">
      <w:pPr>
        <w:pStyle w:val="15"/>
        <w:ind w:left="0" w:leftChars="0" w:firstLine="640" w:firstLineChars="200"/>
        <w:rPr>
          <w:rFonts w:hint="eastAsia" w:ascii="仿宋" w:hAnsi="仿宋" w:eastAsia="仿宋"/>
          <w:sz w:val="32"/>
          <w:szCs w:val="32"/>
        </w:rPr>
      </w:pPr>
      <w:r>
        <w:rPr>
          <w:rFonts w:hint="eastAsia" w:ascii="仿宋" w:hAnsi="仿宋" w:eastAsia="仿宋"/>
          <w:sz w:val="32"/>
          <w:szCs w:val="32"/>
        </w:rPr>
        <w:t>岳池县社会救助福利中心下设办公室、财务室、老年</w:t>
      </w:r>
    </w:p>
    <w:p w14:paraId="24F0F7D5">
      <w:pPr>
        <w:rPr>
          <w:rFonts w:hint="eastAsia" w:ascii="仿宋" w:hAnsi="仿宋" w:eastAsia="仿宋"/>
          <w:sz w:val="32"/>
          <w:szCs w:val="32"/>
        </w:rPr>
      </w:pPr>
      <w:r>
        <w:rPr>
          <w:rFonts w:hint="eastAsia" w:ascii="仿宋" w:hAnsi="仿宋" w:eastAsia="仿宋"/>
          <w:sz w:val="32"/>
          <w:szCs w:val="32"/>
        </w:rPr>
        <w:t>福利部、救助管理部、儿童福利部5个股室。</w:t>
      </w:r>
    </w:p>
    <w:p w14:paraId="3DA3587D">
      <w:pPr>
        <w:pStyle w:val="15"/>
        <w:numPr>
          <w:ilvl w:val="0"/>
          <w:numId w:val="8"/>
        </w:numPr>
        <w:ind w:firstLineChars="0"/>
        <w:rPr>
          <w:rFonts w:hint="eastAsia" w:ascii="仿宋" w:hAnsi="仿宋" w:eastAsia="仿宋"/>
          <w:sz w:val="32"/>
          <w:szCs w:val="32"/>
        </w:rPr>
      </w:pPr>
      <w:r>
        <w:rPr>
          <w:rFonts w:hint="eastAsia" w:ascii="仿宋" w:hAnsi="仿宋" w:eastAsia="仿宋"/>
          <w:sz w:val="32"/>
          <w:szCs w:val="32"/>
        </w:rPr>
        <w:t>机构职能</w:t>
      </w:r>
      <w:r>
        <w:rPr>
          <w:rFonts w:hint="eastAsia" w:ascii="仿宋" w:hAnsi="仿宋" w:eastAsia="仿宋"/>
          <w:sz w:val="32"/>
          <w:szCs w:val="32"/>
          <w:lang w:eastAsia="zh-CN"/>
        </w:rPr>
        <w:t>和人员概况</w:t>
      </w:r>
    </w:p>
    <w:p w14:paraId="647FCBD9">
      <w:pPr>
        <w:pStyle w:val="15"/>
        <w:rPr>
          <w:rFonts w:hint="eastAsia" w:ascii="仿宋" w:hAnsi="仿宋" w:eastAsia="仿宋"/>
          <w:sz w:val="32"/>
          <w:szCs w:val="32"/>
        </w:rPr>
      </w:pPr>
      <w:r>
        <w:rPr>
          <w:rFonts w:hint="eastAsia" w:ascii="仿宋" w:hAnsi="仿宋" w:eastAsia="仿宋"/>
          <w:sz w:val="32"/>
          <w:szCs w:val="32"/>
        </w:rPr>
        <w:t>根据岳编发【2013】5号文件规定，岳池县社会救助</w:t>
      </w:r>
    </w:p>
    <w:p w14:paraId="65FB22B7">
      <w:pPr>
        <w:rPr>
          <w:rFonts w:hint="eastAsia" w:ascii="仿宋" w:hAnsi="仿宋" w:eastAsia="仿宋"/>
          <w:sz w:val="32"/>
          <w:szCs w:val="32"/>
        </w:rPr>
      </w:pPr>
      <w:r>
        <w:rPr>
          <w:rFonts w:hint="eastAsia" w:ascii="仿宋" w:hAnsi="仿宋" w:eastAsia="仿宋"/>
          <w:sz w:val="32"/>
          <w:szCs w:val="32"/>
        </w:rPr>
        <w:t>福利中心的主要职责是：一是贯彻落实国家和省有关流浪乞讨人员、老年人福利、儿童福利的法律法规和相关政策等。二是对自身无力解决食宿、无亲友投靠，又不享受城市最低生活保障或五保供养，正在城市流浪乞讨的人员实施临时救助。三是对属于救助对象的求助人员，及时提供救助，不得拒绝；对不属于救助对象的求助人员，应说明不予救助的理由。四是对求助人员提供符合食品卫生要求的食物，提供符合基本条件的住处，对在站内突发急病的及时送医疗救治，帮助与其亲属或所在单位联系，对没有交通费返回其住所地或者所在单位的提供乘车凭证。对带有不满6周岁幼儿一同接受救助的人员，为其提供便利。五是应当保障受助人员在站内的人身安全和随身携带物品的安全，维护站内秩序。六是对受助人员残疾人、未成年人、老年人应当给予照顾；对查明住址的，及时通知其亲属或所在单位领回；对无家可归的，由其户籍所在地人民政府妥善安置。七是对未成年人，参照《流浪未成年人救助保护机构基本规范》开展救助保护工作。八是对农村五保户、残疾军人进行临时救助。九是依法收养社会上无家可归、无依无靠、无生活来源的孤寡残幼和精神病人，为其提供生活照料、康复护理和精神慰藉等。十是负责对全县孤儿建档造册，定期巡查和监督评估孤儿养育状况，对监护人进行指导和培训。负责代理与孤儿权益相关的事务以及协助有关部门协调、落实孤儿优惠政策等各项工作，为孤儿成长提供必要的服务和支持。</w:t>
      </w:r>
    </w:p>
    <w:p w14:paraId="0638CABF">
      <w:pPr>
        <w:pStyle w:val="15"/>
        <w:ind w:left="0" w:leftChars="0" w:firstLine="640" w:firstLineChars="200"/>
        <w:rPr>
          <w:rFonts w:hint="eastAsia" w:ascii="仿宋" w:hAnsi="仿宋" w:eastAsia="仿宋"/>
          <w:sz w:val="32"/>
          <w:szCs w:val="32"/>
        </w:rPr>
      </w:pPr>
      <w:r>
        <w:rPr>
          <w:rFonts w:hint="eastAsia" w:ascii="仿宋" w:hAnsi="仿宋" w:eastAsia="仿宋"/>
          <w:sz w:val="32"/>
          <w:szCs w:val="32"/>
        </w:rPr>
        <w:t>本单位经岳池县机构编制委员会核定编制数为19名，</w:t>
      </w:r>
    </w:p>
    <w:p w14:paraId="10112C46">
      <w:pPr>
        <w:rPr>
          <w:rFonts w:hint="eastAsia" w:ascii="仿宋" w:hAnsi="仿宋" w:eastAsia="仿宋"/>
          <w:sz w:val="32"/>
          <w:szCs w:val="32"/>
        </w:rPr>
      </w:pPr>
      <w:r>
        <w:rPr>
          <w:rFonts w:hint="eastAsia" w:ascii="仿宋" w:hAnsi="仿宋" w:eastAsia="仿宋"/>
          <w:sz w:val="32"/>
          <w:szCs w:val="32"/>
        </w:rPr>
        <w:t>单位部门预算实有人员2</w:t>
      </w:r>
      <w:r>
        <w:rPr>
          <w:rFonts w:hint="eastAsia" w:ascii="仿宋" w:hAnsi="仿宋" w:eastAsia="仿宋"/>
          <w:sz w:val="32"/>
          <w:szCs w:val="32"/>
          <w:lang w:val="en-US" w:eastAsia="zh-CN"/>
        </w:rPr>
        <w:t>3</w:t>
      </w:r>
      <w:r>
        <w:rPr>
          <w:rFonts w:hint="eastAsia" w:ascii="仿宋" w:hAnsi="仿宋" w:eastAsia="仿宋"/>
          <w:sz w:val="32"/>
          <w:szCs w:val="32"/>
        </w:rPr>
        <w:t>人，其中在职人员17人，退人人员</w:t>
      </w:r>
      <w:r>
        <w:rPr>
          <w:rFonts w:hint="eastAsia" w:ascii="仿宋" w:hAnsi="仿宋" w:eastAsia="仿宋"/>
          <w:sz w:val="32"/>
          <w:szCs w:val="32"/>
          <w:lang w:val="en-US" w:eastAsia="zh-CN"/>
        </w:rPr>
        <w:t>6</w:t>
      </w:r>
      <w:r>
        <w:rPr>
          <w:rFonts w:hint="eastAsia" w:ascii="仿宋" w:hAnsi="仿宋" w:eastAsia="仿宋"/>
          <w:sz w:val="32"/>
          <w:szCs w:val="32"/>
        </w:rPr>
        <w:t>名。</w:t>
      </w:r>
    </w:p>
    <w:p w14:paraId="5353E379">
      <w:pPr>
        <w:pStyle w:val="15"/>
        <w:numPr>
          <w:ilvl w:val="0"/>
          <w:numId w:val="8"/>
        </w:numPr>
        <w:ind w:firstLineChars="0"/>
        <w:rPr>
          <w:rFonts w:hint="eastAsia" w:ascii="仿宋" w:hAnsi="仿宋" w:eastAsia="仿宋"/>
          <w:sz w:val="32"/>
          <w:szCs w:val="32"/>
        </w:rPr>
      </w:pPr>
      <w:r>
        <w:rPr>
          <w:rFonts w:hint="eastAsia" w:ascii="仿宋" w:hAnsi="仿宋" w:eastAsia="仿宋"/>
          <w:sz w:val="32"/>
          <w:szCs w:val="32"/>
          <w:lang w:eastAsia="zh-CN"/>
        </w:rPr>
        <w:t>年度主要工作任务</w:t>
      </w:r>
    </w:p>
    <w:p w14:paraId="7BEFD8FE">
      <w:pPr>
        <w:ind w:firstLine="640" w:firstLineChars="200"/>
        <w:rPr>
          <w:rFonts w:hint="default" w:ascii="仿宋" w:hAnsi="仿宋" w:eastAsia="仿宋"/>
          <w:sz w:val="32"/>
          <w:szCs w:val="32"/>
          <w:lang w:val="en-US"/>
        </w:rPr>
      </w:pP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年我单位共完成了救助任务</w:t>
      </w:r>
      <w:r>
        <w:rPr>
          <w:rFonts w:hint="eastAsia" w:ascii="仿宋" w:hAnsi="仿宋" w:eastAsia="仿宋" w:cs="仿宋"/>
          <w:sz w:val="32"/>
          <w:szCs w:val="32"/>
          <w:lang w:val="en-US" w:eastAsia="zh-CN"/>
        </w:rPr>
        <w:t>164</w:t>
      </w:r>
      <w:r>
        <w:rPr>
          <w:rFonts w:hint="eastAsia" w:ascii="仿宋" w:hAnsi="仿宋" w:eastAsia="仿宋" w:cs="仿宋"/>
          <w:sz w:val="32"/>
          <w:szCs w:val="32"/>
        </w:rPr>
        <w:t>人次。其中女性</w:t>
      </w:r>
      <w:r>
        <w:rPr>
          <w:rFonts w:hint="eastAsia" w:ascii="仿宋" w:hAnsi="仿宋" w:eastAsia="仿宋" w:cs="仿宋"/>
          <w:sz w:val="32"/>
          <w:szCs w:val="32"/>
          <w:lang w:eastAsia="zh-CN"/>
        </w:rPr>
        <w:t>求助对象</w:t>
      </w:r>
      <w:r>
        <w:rPr>
          <w:rFonts w:hint="eastAsia" w:ascii="仿宋" w:hAnsi="仿宋" w:eastAsia="仿宋" w:cs="仿宋"/>
          <w:sz w:val="32"/>
          <w:szCs w:val="32"/>
          <w:lang w:val="en-US" w:eastAsia="zh-CN"/>
        </w:rPr>
        <w:t>63</w:t>
      </w:r>
      <w:r>
        <w:rPr>
          <w:rFonts w:hint="eastAsia" w:ascii="仿宋" w:hAnsi="仿宋" w:eastAsia="仿宋" w:cs="仿宋"/>
          <w:sz w:val="32"/>
          <w:szCs w:val="32"/>
        </w:rPr>
        <w:t>人次、男性</w:t>
      </w:r>
      <w:r>
        <w:rPr>
          <w:rFonts w:hint="eastAsia" w:ascii="仿宋" w:hAnsi="仿宋" w:eastAsia="仿宋" w:cs="仿宋"/>
          <w:sz w:val="32"/>
          <w:szCs w:val="32"/>
          <w:lang w:eastAsia="zh-CN"/>
        </w:rPr>
        <w:t>求助对象</w:t>
      </w:r>
      <w:r>
        <w:rPr>
          <w:rFonts w:hint="eastAsia" w:ascii="仿宋" w:hAnsi="仿宋" w:eastAsia="仿宋" w:cs="仿宋"/>
          <w:sz w:val="32"/>
          <w:szCs w:val="32"/>
          <w:lang w:val="en-US" w:eastAsia="zh-CN"/>
        </w:rPr>
        <w:t>101</w:t>
      </w:r>
      <w:r>
        <w:rPr>
          <w:rFonts w:hint="eastAsia" w:ascii="仿宋" w:hAnsi="仿宋" w:eastAsia="仿宋" w:cs="仿宋"/>
          <w:sz w:val="32"/>
          <w:szCs w:val="32"/>
        </w:rPr>
        <w:t>人次；未成年人</w:t>
      </w:r>
      <w:r>
        <w:rPr>
          <w:rFonts w:hint="eastAsia" w:ascii="仿宋" w:hAnsi="仿宋" w:eastAsia="仿宋" w:cs="仿宋"/>
          <w:sz w:val="32"/>
          <w:szCs w:val="32"/>
          <w:lang w:val="en-US" w:eastAsia="zh-CN"/>
        </w:rPr>
        <w:t>88</w:t>
      </w:r>
      <w:r>
        <w:rPr>
          <w:rFonts w:hint="eastAsia" w:ascii="仿宋" w:hAnsi="仿宋" w:eastAsia="仿宋" w:cs="仿宋"/>
          <w:sz w:val="32"/>
          <w:szCs w:val="32"/>
        </w:rPr>
        <w:t>人次、老年人</w:t>
      </w:r>
      <w:r>
        <w:rPr>
          <w:rFonts w:hint="eastAsia" w:ascii="仿宋" w:hAnsi="仿宋" w:eastAsia="仿宋" w:cs="仿宋"/>
          <w:sz w:val="32"/>
          <w:szCs w:val="32"/>
          <w:lang w:val="en-US" w:eastAsia="zh-CN"/>
        </w:rPr>
        <w:t>26</w:t>
      </w:r>
      <w:r>
        <w:rPr>
          <w:rFonts w:hint="eastAsia" w:ascii="仿宋" w:hAnsi="仿宋" w:eastAsia="仿宋" w:cs="仿宋"/>
          <w:sz w:val="32"/>
          <w:szCs w:val="32"/>
        </w:rPr>
        <w:t>人次、残疾人</w:t>
      </w:r>
      <w:r>
        <w:rPr>
          <w:rFonts w:hint="eastAsia" w:ascii="仿宋" w:hAnsi="仿宋" w:eastAsia="仿宋" w:cs="仿宋"/>
          <w:sz w:val="32"/>
          <w:szCs w:val="32"/>
          <w:lang w:val="en-US" w:eastAsia="zh-CN"/>
        </w:rPr>
        <w:t>9</w:t>
      </w:r>
      <w:r>
        <w:rPr>
          <w:rFonts w:hint="eastAsia" w:ascii="仿宋" w:hAnsi="仿宋" w:eastAsia="仿宋" w:cs="仿宋"/>
          <w:sz w:val="32"/>
          <w:szCs w:val="32"/>
        </w:rPr>
        <w:t>人次、危重病人</w:t>
      </w:r>
      <w:r>
        <w:rPr>
          <w:rFonts w:hint="eastAsia" w:ascii="仿宋" w:hAnsi="仿宋" w:eastAsia="仿宋" w:cs="仿宋"/>
          <w:sz w:val="32"/>
          <w:szCs w:val="32"/>
          <w:lang w:val="en-US" w:eastAsia="zh-CN"/>
        </w:rPr>
        <w:t>2</w:t>
      </w:r>
      <w:r>
        <w:rPr>
          <w:rFonts w:hint="eastAsia" w:ascii="仿宋" w:hAnsi="仿宋" w:eastAsia="仿宋" w:cs="仿宋"/>
          <w:sz w:val="32"/>
          <w:szCs w:val="32"/>
        </w:rPr>
        <w:t>人次、精神病人</w:t>
      </w:r>
      <w:r>
        <w:rPr>
          <w:rFonts w:hint="eastAsia" w:ascii="仿宋" w:hAnsi="仿宋" w:eastAsia="仿宋" w:cs="仿宋"/>
          <w:sz w:val="32"/>
          <w:szCs w:val="32"/>
          <w:lang w:val="en-US" w:eastAsia="zh-CN"/>
        </w:rPr>
        <w:t>13</w:t>
      </w:r>
      <w:r>
        <w:rPr>
          <w:rFonts w:hint="eastAsia" w:ascii="仿宋" w:hAnsi="仿宋" w:eastAsia="仿宋" w:cs="仿宋"/>
          <w:sz w:val="32"/>
          <w:szCs w:val="32"/>
        </w:rPr>
        <w:t>人次、智力障碍</w:t>
      </w:r>
      <w:r>
        <w:rPr>
          <w:rFonts w:hint="eastAsia" w:ascii="仿宋" w:hAnsi="仿宋" w:eastAsia="仿宋" w:cs="仿宋"/>
          <w:sz w:val="32"/>
          <w:szCs w:val="32"/>
          <w:lang w:val="en-US" w:eastAsia="zh-CN"/>
        </w:rPr>
        <w:t>3</w:t>
      </w:r>
      <w:r>
        <w:rPr>
          <w:rFonts w:hint="eastAsia" w:ascii="仿宋" w:hAnsi="仿宋" w:eastAsia="仿宋" w:cs="仿宋"/>
          <w:sz w:val="32"/>
          <w:szCs w:val="32"/>
        </w:rPr>
        <w:t>人次；省内护送返乡</w:t>
      </w:r>
      <w:r>
        <w:rPr>
          <w:rFonts w:hint="eastAsia" w:ascii="仿宋" w:hAnsi="仿宋" w:eastAsia="仿宋" w:cs="仿宋"/>
          <w:sz w:val="32"/>
          <w:szCs w:val="32"/>
          <w:lang w:val="en-US" w:eastAsia="zh-CN"/>
        </w:rPr>
        <w:t>26人</w:t>
      </w:r>
      <w:r>
        <w:rPr>
          <w:rFonts w:hint="eastAsia" w:ascii="仿宋" w:hAnsi="仿宋" w:eastAsia="仿宋" w:cs="仿宋"/>
          <w:sz w:val="32"/>
          <w:szCs w:val="32"/>
        </w:rPr>
        <w:t>、自行离站</w:t>
      </w:r>
      <w:r>
        <w:rPr>
          <w:rFonts w:hint="eastAsia" w:ascii="仿宋" w:hAnsi="仿宋" w:eastAsia="仿宋" w:cs="仿宋"/>
          <w:sz w:val="32"/>
          <w:szCs w:val="32"/>
          <w:lang w:val="en-US" w:eastAsia="zh-CN"/>
        </w:rPr>
        <w:t>133</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rPr>
        <w:t>省外护送返乡</w:t>
      </w:r>
      <w:r>
        <w:rPr>
          <w:rFonts w:hint="eastAsia" w:ascii="仿宋" w:hAnsi="仿宋" w:eastAsia="仿宋" w:cs="仿宋"/>
          <w:sz w:val="32"/>
          <w:szCs w:val="32"/>
          <w:lang w:val="en-US" w:eastAsia="zh-CN"/>
        </w:rPr>
        <w:t>3</w:t>
      </w:r>
      <w:r>
        <w:rPr>
          <w:rFonts w:hint="eastAsia" w:ascii="仿宋" w:hAnsi="仿宋" w:eastAsia="仿宋" w:cs="仿宋"/>
          <w:sz w:val="32"/>
          <w:szCs w:val="32"/>
        </w:rPr>
        <w:t>人、自行离站</w:t>
      </w:r>
      <w:r>
        <w:rPr>
          <w:rFonts w:hint="eastAsia" w:ascii="仿宋" w:hAnsi="仿宋" w:eastAsia="仿宋" w:cs="仿宋"/>
          <w:sz w:val="32"/>
          <w:szCs w:val="32"/>
          <w:lang w:val="en-US" w:eastAsia="zh-CN"/>
        </w:rPr>
        <w:t>2</w:t>
      </w:r>
      <w:r>
        <w:rPr>
          <w:rFonts w:hint="eastAsia" w:ascii="仿宋" w:hAnsi="仿宋" w:eastAsia="仿宋" w:cs="仿宋"/>
          <w:sz w:val="32"/>
          <w:szCs w:val="32"/>
        </w:rPr>
        <w:t>人；临时安置</w:t>
      </w:r>
      <w:r>
        <w:rPr>
          <w:rFonts w:hint="eastAsia" w:ascii="仿宋" w:hAnsi="仿宋" w:eastAsia="仿宋" w:cs="仿宋"/>
          <w:sz w:val="32"/>
          <w:szCs w:val="32"/>
          <w:lang w:val="en-US" w:eastAsia="zh-CN"/>
        </w:rPr>
        <w:t>2</w:t>
      </w:r>
      <w:r>
        <w:rPr>
          <w:rFonts w:hint="eastAsia" w:ascii="仿宋" w:hAnsi="仿宋" w:eastAsia="仿宋" w:cs="仿宋"/>
          <w:sz w:val="32"/>
          <w:szCs w:val="32"/>
        </w:rPr>
        <w:t>人。我站在20</w:t>
      </w:r>
      <w:r>
        <w:rPr>
          <w:rFonts w:hint="eastAsia" w:ascii="仿宋" w:hAnsi="仿宋" w:eastAsia="仿宋" w:cs="仿宋"/>
          <w:sz w:val="32"/>
          <w:szCs w:val="32"/>
          <w:lang w:val="en-US" w:eastAsia="zh-CN"/>
        </w:rPr>
        <w:t>22</w:t>
      </w:r>
      <w:r>
        <w:rPr>
          <w:rFonts w:hint="eastAsia" w:ascii="仿宋" w:hAnsi="仿宋" w:eastAsia="仿宋" w:cs="仿宋"/>
          <w:sz w:val="32"/>
          <w:szCs w:val="32"/>
        </w:rPr>
        <w:t>年把街头巡查救助工作、夏季送清凉活动、寒冬送温暖活动、</w:t>
      </w:r>
      <w:r>
        <w:rPr>
          <w:rFonts w:hint="eastAsia" w:ascii="仿宋" w:hAnsi="仿宋" w:eastAsia="仿宋" w:cs="仿宋"/>
          <w:sz w:val="32"/>
          <w:szCs w:val="32"/>
          <w:lang w:eastAsia="zh-CN"/>
        </w:rPr>
        <w:t>开展救助帮扶和</w:t>
      </w:r>
      <w:r>
        <w:rPr>
          <w:rFonts w:hint="eastAsia" w:ascii="仿宋" w:hAnsi="仿宋" w:eastAsia="仿宋" w:cs="仿宋"/>
          <w:sz w:val="32"/>
          <w:szCs w:val="32"/>
        </w:rPr>
        <w:t>回访活动</w:t>
      </w:r>
      <w:r>
        <w:rPr>
          <w:rFonts w:hint="eastAsia" w:ascii="仿宋" w:hAnsi="仿宋" w:eastAsia="仿宋" w:cs="仿宋"/>
          <w:sz w:val="32"/>
          <w:szCs w:val="32"/>
          <w:lang w:eastAsia="zh-CN"/>
        </w:rPr>
        <w:t>以及对困境未成年人和孤儿的救助</w:t>
      </w:r>
      <w:r>
        <w:rPr>
          <w:rFonts w:hint="eastAsia" w:ascii="仿宋" w:hAnsi="仿宋" w:eastAsia="仿宋" w:cs="仿宋"/>
          <w:sz w:val="32"/>
          <w:szCs w:val="32"/>
        </w:rPr>
        <w:t>作为常规工作日程范围开展工作。</w:t>
      </w:r>
    </w:p>
    <w:p w14:paraId="2A55885C">
      <w:pPr>
        <w:pStyle w:val="15"/>
        <w:numPr>
          <w:ilvl w:val="0"/>
          <w:numId w:val="8"/>
        </w:numPr>
        <w:ind w:firstLineChars="0"/>
        <w:rPr>
          <w:rFonts w:hint="eastAsia" w:ascii="仿宋" w:hAnsi="仿宋" w:eastAsia="仿宋"/>
          <w:sz w:val="32"/>
          <w:szCs w:val="32"/>
        </w:rPr>
      </w:pPr>
      <w:r>
        <w:rPr>
          <w:rFonts w:hint="eastAsia" w:ascii="仿宋" w:hAnsi="仿宋" w:eastAsia="仿宋"/>
          <w:sz w:val="32"/>
          <w:szCs w:val="32"/>
          <w:lang w:eastAsia="zh-CN"/>
        </w:rPr>
        <w:t>部门整体支出绩效目标</w:t>
      </w:r>
    </w:p>
    <w:p w14:paraId="15837F25">
      <w:pPr>
        <w:pStyle w:val="15"/>
        <w:numPr>
          <w:ilvl w:val="0"/>
          <w:numId w:val="0"/>
        </w:numPr>
        <w:ind w:leftChars="0"/>
        <w:rPr>
          <w:rFonts w:hint="default" w:ascii="仿宋" w:hAnsi="仿宋" w:eastAsia="仿宋"/>
          <w:sz w:val="32"/>
          <w:szCs w:val="32"/>
          <w:lang w:val="en-US"/>
        </w:rPr>
      </w:pPr>
      <w:r>
        <w:rPr>
          <w:rFonts w:hint="eastAsia" w:ascii="仿宋" w:hAnsi="仿宋" w:eastAsia="仿宋"/>
          <w:sz w:val="32"/>
          <w:szCs w:val="32"/>
          <w:lang w:val="en-US" w:eastAsia="zh-CN"/>
        </w:rPr>
        <w:t xml:space="preserve">    2022年保障单位的基本工作经费支出、办公经费支出。全年完成对400人次的流浪乞讨人员进行救助；全年预估接受弃婴3人次，并聘请3人为弃婴进行护理；全年完成对200人次的流浪乞讨人员进行医疗救治。</w:t>
      </w:r>
    </w:p>
    <w:p w14:paraId="7FFC9429">
      <w:pPr>
        <w:pStyle w:val="15"/>
        <w:numPr>
          <w:ilvl w:val="0"/>
          <w:numId w:val="7"/>
        </w:numPr>
        <w:ind w:firstLineChars="0"/>
        <w:rPr>
          <w:rFonts w:hint="eastAsia" w:ascii="仿宋" w:hAnsi="仿宋" w:eastAsia="仿宋"/>
          <w:sz w:val="32"/>
          <w:szCs w:val="32"/>
        </w:rPr>
      </w:pPr>
      <w:r>
        <w:rPr>
          <w:rFonts w:hint="eastAsia" w:ascii="仿宋" w:hAnsi="仿宋" w:eastAsia="仿宋"/>
          <w:sz w:val="32"/>
          <w:szCs w:val="32"/>
          <w:lang w:eastAsia="zh-CN"/>
        </w:rPr>
        <w:t>部门</w:t>
      </w:r>
      <w:r>
        <w:rPr>
          <w:rFonts w:hint="eastAsia" w:ascii="仿宋" w:hAnsi="仿宋" w:eastAsia="仿宋"/>
          <w:sz w:val="32"/>
          <w:szCs w:val="32"/>
        </w:rPr>
        <w:t>资金收支情况</w:t>
      </w:r>
    </w:p>
    <w:p w14:paraId="29626CDB">
      <w:pPr>
        <w:pStyle w:val="15"/>
        <w:numPr>
          <w:ilvl w:val="0"/>
          <w:numId w:val="0"/>
        </w:numPr>
        <w:ind w:leftChars="0"/>
        <w:rPr>
          <w:rFonts w:hint="eastAsia" w:ascii="仿宋" w:hAnsi="仿宋" w:eastAsia="仿宋"/>
          <w:sz w:val="32"/>
          <w:szCs w:val="32"/>
          <w:lang w:eastAsia="zh-CN"/>
        </w:rPr>
      </w:pPr>
      <w:r>
        <w:rPr>
          <w:rFonts w:hint="eastAsia" w:ascii="仿宋" w:hAnsi="仿宋" w:eastAsia="仿宋"/>
          <w:sz w:val="32"/>
          <w:szCs w:val="32"/>
          <w:lang w:eastAsia="zh-CN"/>
        </w:rPr>
        <w:t>（一）部门总体收支情况</w:t>
      </w:r>
    </w:p>
    <w:p w14:paraId="50129159">
      <w:pPr>
        <w:pStyle w:val="15"/>
        <w:numPr>
          <w:ilvl w:val="0"/>
          <w:numId w:val="0"/>
        </w:numPr>
        <w:ind w:leftChars="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lang w:eastAsia="zh-CN"/>
        </w:rPr>
        <w:t>部门总体</w:t>
      </w:r>
      <w:r>
        <w:rPr>
          <w:rFonts w:hint="eastAsia" w:ascii="仿宋" w:hAnsi="仿宋" w:eastAsia="仿宋"/>
          <w:sz w:val="32"/>
          <w:szCs w:val="32"/>
        </w:rPr>
        <w:t>收入情况</w:t>
      </w:r>
    </w:p>
    <w:p w14:paraId="3BE699DC">
      <w:pPr>
        <w:pStyle w:val="15"/>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年我单位年初预算为</w:t>
      </w:r>
      <w:r>
        <w:rPr>
          <w:rFonts w:hint="eastAsia" w:ascii="仿宋" w:hAnsi="仿宋" w:eastAsia="仿宋"/>
          <w:sz w:val="32"/>
          <w:szCs w:val="32"/>
          <w:lang w:val="en-US" w:eastAsia="zh-CN"/>
        </w:rPr>
        <w:t>343.69</w:t>
      </w:r>
      <w:r>
        <w:rPr>
          <w:rFonts w:hint="eastAsia" w:ascii="仿宋" w:hAnsi="仿宋" w:eastAsia="仿宋"/>
          <w:sz w:val="32"/>
          <w:szCs w:val="32"/>
        </w:rPr>
        <w:t>万元。</w:t>
      </w:r>
    </w:p>
    <w:p w14:paraId="386B19E5">
      <w:pPr>
        <w:pStyle w:val="15"/>
        <w:numPr>
          <w:ilvl w:val="0"/>
          <w:numId w:val="0"/>
        </w:numPr>
        <w:ind w:leftChars="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lang w:eastAsia="zh-CN"/>
        </w:rPr>
        <w:t>部门总体</w:t>
      </w:r>
      <w:r>
        <w:rPr>
          <w:rFonts w:hint="eastAsia" w:ascii="仿宋" w:hAnsi="仿宋" w:eastAsia="仿宋"/>
          <w:sz w:val="32"/>
          <w:szCs w:val="32"/>
        </w:rPr>
        <w:t>支出情况</w:t>
      </w:r>
    </w:p>
    <w:p w14:paraId="6D937722">
      <w:pPr>
        <w:pStyle w:val="15"/>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年我单位预算实际支出数为</w:t>
      </w:r>
      <w:r>
        <w:rPr>
          <w:rFonts w:hint="eastAsia" w:ascii="仿宋" w:hAnsi="仿宋" w:eastAsia="仿宋"/>
          <w:sz w:val="32"/>
          <w:szCs w:val="32"/>
          <w:lang w:val="en-US" w:eastAsia="zh-CN"/>
        </w:rPr>
        <w:t>351.27</w:t>
      </w:r>
      <w:r>
        <w:rPr>
          <w:rFonts w:hint="eastAsia" w:ascii="仿宋" w:hAnsi="仿宋" w:eastAsia="仿宋"/>
          <w:sz w:val="32"/>
          <w:szCs w:val="32"/>
        </w:rPr>
        <w:t>万元。按支</w:t>
      </w:r>
    </w:p>
    <w:p w14:paraId="4EE9AB3F">
      <w:pPr>
        <w:rPr>
          <w:rFonts w:hint="eastAsia" w:ascii="仿宋" w:hAnsi="仿宋" w:eastAsia="仿宋"/>
          <w:sz w:val="32"/>
          <w:szCs w:val="32"/>
        </w:rPr>
      </w:pPr>
      <w:r>
        <w:rPr>
          <w:rFonts w:hint="eastAsia" w:ascii="仿宋" w:hAnsi="仿宋" w:eastAsia="仿宋"/>
          <w:sz w:val="32"/>
          <w:szCs w:val="32"/>
        </w:rPr>
        <w:t>出经济分类，其中工资福利支出为</w:t>
      </w:r>
      <w:r>
        <w:rPr>
          <w:rFonts w:hint="eastAsia" w:ascii="仿宋" w:hAnsi="仿宋" w:eastAsia="仿宋"/>
          <w:sz w:val="32"/>
          <w:szCs w:val="32"/>
          <w:lang w:val="en-US" w:eastAsia="zh-CN"/>
        </w:rPr>
        <w:t>210.42</w:t>
      </w:r>
      <w:r>
        <w:rPr>
          <w:rFonts w:hint="eastAsia" w:ascii="仿宋" w:hAnsi="仿宋" w:eastAsia="仿宋"/>
          <w:sz w:val="32"/>
          <w:szCs w:val="32"/>
        </w:rPr>
        <w:t>万元，商品和服务支出为</w:t>
      </w:r>
      <w:r>
        <w:rPr>
          <w:rFonts w:hint="eastAsia" w:ascii="仿宋" w:hAnsi="仿宋" w:eastAsia="仿宋"/>
          <w:sz w:val="32"/>
          <w:szCs w:val="32"/>
          <w:lang w:val="en-US" w:eastAsia="zh-CN"/>
        </w:rPr>
        <w:t>19.66</w:t>
      </w:r>
      <w:r>
        <w:rPr>
          <w:rFonts w:hint="eastAsia" w:ascii="仿宋" w:hAnsi="仿宋" w:eastAsia="仿宋"/>
          <w:sz w:val="32"/>
          <w:szCs w:val="32"/>
        </w:rPr>
        <w:t>万元，对个人和家庭的补助支出</w:t>
      </w:r>
      <w:r>
        <w:rPr>
          <w:rFonts w:hint="eastAsia" w:ascii="仿宋" w:hAnsi="仿宋" w:eastAsia="仿宋"/>
          <w:sz w:val="32"/>
          <w:szCs w:val="32"/>
          <w:lang w:val="en-US" w:eastAsia="zh-CN"/>
        </w:rPr>
        <w:t>121.19</w:t>
      </w:r>
      <w:r>
        <w:rPr>
          <w:rFonts w:hint="eastAsia" w:ascii="仿宋" w:hAnsi="仿宋" w:eastAsia="仿宋"/>
          <w:sz w:val="32"/>
          <w:szCs w:val="32"/>
        </w:rPr>
        <w:t>万元。</w:t>
      </w:r>
    </w:p>
    <w:p w14:paraId="5D5A14D7">
      <w:pPr>
        <w:numPr>
          <w:ilvl w:val="0"/>
          <w:numId w:val="9"/>
        </w:numPr>
        <w:rPr>
          <w:rFonts w:hint="eastAsia" w:ascii="仿宋" w:hAnsi="仿宋" w:eastAsia="仿宋"/>
          <w:sz w:val="32"/>
          <w:szCs w:val="32"/>
          <w:lang w:val="en-US" w:eastAsia="zh-CN"/>
        </w:rPr>
      </w:pPr>
      <w:r>
        <w:rPr>
          <w:rFonts w:hint="eastAsia" w:ascii="仿宋" w:hAnsi="仿宋" w:eastAsia="仿宋"/>
          <w:sz w:val="32"/>
          <w:szCs w:val="32"/>
          <w:lang w:val="en-US" w:eastAsia="zh-CN"/>
        </w:rPr>
        <w:t>部门总体结转结余情况</w:t>
      </w:r>
    </w:p>
    <w:p w14:paraId="5EFB4E94">
      <w:pPr>
        <w:numPr>
          <w:ilvl w:val="0"/>
          <w:numId w:val="0"/>
        </w:numPr>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2022年我单位无资金结转结余。</w:t>
      </w:r>
    </w:p>
    <w:p w14:paraId="24A7A273">
      <w:pPr>
        <w:numPr>
          <w:ilvl w:val="0"/>
          <w:numId w:val="0"/>
        </w:numPr>
        <w:rPr>
          <w:rFonts w:hint="eastAsia" w:ascii="仿宋" w:hAnsi="仿宋" w:eastAsia="仿宋"/>
          <w:sz w:val="32"/>
          <w:szCs w:val="32"/>
          <w:lang w:val="en-US" w:eastAsia="zh-CN"/>
        </w:rPr>
      </w:pPr>
      <w:r>
        <w:rPr>
          <w:rFonts w:hint="eastAsia" w:ascii="仿宋" w:hAnsi="仿宋" w:eastAsia="仿宋"/>
          <w:sz w:val="32"/>
          <w:szCs w:val="32"/>
          <w:lang w:val="en-US" w:eastAsia="zh-CN"/>
        </w:rPr>
        <w:t>（二）部门财政拨款收支情况</w:t>
      </w:r>
    </w:p>
    <w:p w14:paraId="154F4314">
      <w:pPr>
        <w:numPr>
          <w:ilvl w:val="0"/>
          <w:numId w:val="10"/>
        </w:numPr>
        <w:rPr>
          <w:rFonts w:hint="eastAsia" w:ascii="仿宋" w:hAnsi="仿宋" w:eastAsia="仿宋"/>
          <w:sz w:val="32"/>
          <w:szCs w:val="32"/>
          <w:lang w:val="en-US" w:eastAsia="zh-CN"/>
        </w:rPr>
      </w:pPr>
      <w:r>
        <w:rPr>
          <w:rFonts w:hint="eastAsia" w:ascii="仿宋" w:hAnsi="仿宋" w:eastAsia="仿宋"/>
          <w:sz w:val="32"/>
          <w:szCs w:val="32"/>
          <w:lang w:val="en-US" w:eastAsia="zh-CN"/>
        </w:rPr>
        <w:t>部门财政拨款收入情况</w:t>
      </w:r>
    </w:p>
    <w:p w14:paraId="29FF0E6E">
      <w:pPr>
        <w:numPr>
          <w:ilvl w:val="0"/>
          <w:numId w:val="0"/>
        </w:numPr>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2022年我单位财政拨款收入为351.27万元。</w:t>
      </w:r>
    </w:p>
    <w:p w14:paraId="36BA32A7">
      <w:pPr>
        <w:numPr>
          <w:ilvl w:val="0"/>
          <w:numId w:val="10"/>
        </w:numPr>
        <w:rPr>
          <w:rFonts w:hint="eastAsia" w:ascii="仿宋" w:hAnsi="仿宋" w:eastAsia="仿宋"/>
          <w:sz w:val="32"/>
          <w:szCs w:val="32"/>
          <w:lang w:val="en-US" w:eastAsia="zh-CN"/>
        </w:rPr>
      </w:pPr>
      <w:r>
        <w:rPr>
          <w:rFonts w:hint="eastAsia" w:ascii="仿宋" w:hAnsi="仿宋" w:eastAsia="仿宋"/>
          <w:sz w:val="32"/>
          <w:szCs w:val="32"/>
          <w:lang w:val="en-US" w:eastAsia="zh-CN"/>
        </w:rPr>
        <w:t>部门财政拨款支出情况</w:t>
      </w:r>
    </w:p>
    <w:p w14:paraId="4791BCD2">
      <w:pPr>
        <w:numPr>
          <w:ilvl w:val="0"/>
          <w:numId w:val="0"/>
        </w:numPr>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2022年我单位财政拨款支出为351.27万元。按支出经济分类，其中工资福利支出为210.42万元，商品和服务支出为19.66万元，对个人和家庭的补助支出121.19万元。</w:t>
      </w:r>
    </w:p>
    <w:p w14:paraId="79A3ACA5">
      <w:pPr>
        <w:numPr>
          <w:ilvl w:val="0"/>
          <w:numId w:val="10"/>
        </w:numPr>
        <w:rPr>
          <w:rFonts w:hint="eastAsia" w:ascii="仿宋" w:hAnsi="仿宋" w:eastAsia="仿宋"/>
          <w:sz w:val="32"/>
          <w:szCs w:val="32"/>
          <w:lang w:val="en-US" w:eastAsia="zh-CN"/>
        </w:rPr>
      </w:pPr>
      <w:r>
        <w:rPr>
          <w:rFonts w:hint="eastAsia" w:ascii="仿宋" w:hAnsi="仿宋" w:eastAsia="仿宋"/>
          <w:sz w:val="32"/>
          <w:szCs w:val="32"/>
          <w:lang w:val="en-US" w:eastAsia="zh-CN"/>
        </w:rPr>
        <w:t>部门财政拨款结转结余情况</w:t>
      </w:r>
    </w:p>
    <w:p w14:paraId="43476547">
      <w:pPr>
        <w:numPr>
          <w:ilvl w:val="0"/>
          <w:numId w:val="0"/>
        </w:numPr>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2022年我单位财政拨款无资金结转结余。</w:t>
      </w:r>
    </w:p>
    <w:p w14:paraId="5CC81111">
      <w:pPr>
        <w:numPr>
          <w:ilvl w:val="0"/>
          <w:numId w:val="7"/>
        </w:numPr>
        <w:ind w:left="720" w:leftChars="0" w:hanging="720" w:firstLineChars="0"/>
        <w:rPr>
          <w:rFonts w:hint="eastAsia" w:ascii="仿宋" w:hAnsi="仿宋" w:eastAsia="仿宋"/>
          <w:sz w:val="32"/>
          <w:szCs w:val="32"/>
          <w:lang w:val="en-US" w:eastAsia="zh-CN"/>
        </w:rPr>
      </w:pPr>
      <w:r>
        <w:rPr>
          <w:rFonts w:hint="eastAsia" w:ascii="仿宋" w:hAnsi="仿宋" w:eastAsia="仿宋"/>
          <w:sz w:val="32"/>
          <w:szCs w:val="32"/>
          <w:lang w:val="en-US" w:eastAsia="zh-CN"/>
        </w:rPr>
        <w:t>部门整体绩效分析</w:t>
      </w:r>
    </w:p>
    <w:p w14:paraId="1D64CBEE">
      <w:pPr>
        <w:numPr>
          <w:ilvl w:val="0"/>
          <w:numId w:val="11"/>
        </w:numPr>
        <w:ind w:leftChars="0"/>
        <w:rPr>
          <w:rFonts w:hint="eastAsia" w:ascii="仿宋" w:hAnsi="仿宋" w:eastAsia="仿宋"/>
          <w:sz w:val="32"/>
          <w:szCs w:val="32"/>
          <w:lang w:val="en-US" w:eastAsia="zh-CN"/>
        </w:rPr>
      </w:pPr>
      <w:r>
        <w:rPr>
          <w:rFonts w:hint="eastAsia" w:ascii="仿宋" w:hAnsi="仿宋" w:eastAsia="仿宋"/>
          <w:sz w:val="32"/>
          <w:szCs w:val="32"/>
          <w:lang w:val="en-US" w:eastAsia="zh-CN"/>
        </w:rPr>
        <w:t>部门预算项目绩效分析</w:t>
      </w:r>
    </w:p>
    <w:p w14:paraId="6BD3CE99">
      <w:pPr>
        <w:numPr>
          <w:ilvl w:val="0"/>
          <w:numId w:val="0"/>
        </w:numPr>
        <w:rPr>
          <w:rFonts w:hint="default" w:ascii="仿宋" w:hAnsi="仿宋" w:eastAsia="仿宋"/>
          <w:sz w:val="32"/>
          <w:szCs w:val="32"/>
          <w:lang w:val="en-US" w:eastAsia="zh-CN"/>
        </w:rPr>
      </w:pPr>
      <w:r>
        <w:rPr>
          <w:rFonts w:hint="eastAsia" w:ascii="仿宋" w:hAnsi="仿宋" w:eastAsia="仿宋"/>
          <w:sz w:val="32"/>
          <w:szCs w:val="32"/>
          <w:lang w:val="en-US" w:eastAsia="zh-CN"/>
        </w:rPr>
        <w:t>1.人员类项目绩效分析</w:t>
      </w:r>
    </w:p>
    <w:p w14:paraId="46FDFE90">
      <w:pPr>
        <w:ind w:firstLine="640" w:firstLineChars="200"/>
        <w:rPr>
          <w:rFonts w:hint="eastAsia" w:ascii="仿宋" w:hAnsi="仿宋" w:eastAsia="仿宋"/>
          <w:sz w:val="32"/>
          <w:szCs w:val="32"/>
          <w:lang w:val="en-US" w:eastAsia="zh-CN"/>
        </w:rPr>
      </w:pPr>
      <w:r>
        <w:rPr>
          <w:rFonts w:hint="eastAsia" w:ascii="仿宋" w:hAnsi="仿宋" w:eastAsia="仿宋"/>
          <w:sz w:val="32"/>
          <w:szCs w:val="32"/>
        </w:rPr>
        <w:t>我单位202</w:t>
      </w:r>
      <w:r>
        <w:rPr>
          <w:rFonts w:hint="eastAsia" w:ascii="仿宋" w:hAnsi="仿宋" w:eastAsia="仿宋"/>
          <w:sz w:val="32"/>
          <w:szCs w:val="32"/>
          <w:lang w:val="en-US" w:eastAsia="zh-CN"/>
        </w:rPr>
        <w:t>2</w:t>
      </w:r>
      <w:r>
        <w:rPr>
          <w:rFonts w:hint="eastAsia" w:ascii="仿宋" w:hAnsi="仿宋" w:eastAsia="仿宋"/>
          <w:sz w:val="32"/>
          <w:szCs w:val="32"/>
        </w:rPr>
        <w:t>年预算编制严格按照县财政的要求及其实施条例等预算编制的法律法规，掌握预算编制的相关政策，及时与县编办、县人社局等部门核对人员编制、实有人数、工资等基础信息，并实时更新单位基础信息数据库，准确编制部门预算，将部门预算收入全部纳入预算管理，全面完整地反映部门真实收入情况。</w:t>
      </w:r>
      <w:r>
        <w:rPr>
          <w:rFonts w:hint="eastAsia" w:ascii="仿宋" w:hAnsi="仿宋" w:eastAsia="仿宋"/>
          <w:sz w:val="32"/>
          <w:szCs w:val="32"/>
          <w:lang w:eastAsia="zh-CN"/>
        </w:rPr>
        <w:t>以</w:t>
      </w:r>
      <w:r>
        <w:rPr>
          <w:rFonts w:hint="eastAsia" w:ascii="仿宋" w:hAnsi="仿宋" w:eastAsia="仿宋"/>
          <w:sz w:val="32"/>
          <w:szCs w:val="32"/>
        </w:rPr>
        <w:t>202</w:t>
      </w:r>
      <w:r>
        <w:rPr>
          <w:rFonts w:hint="eastAsia" w:ascii="仿宋" w:hAnsi="仿宋" w:eastAsia="仿宋"/>
          <w:sz w:val="32"/>
          <w:szCs w:val="32"/>
          <w:lang w:val="en-US" w:eastAsia="zh-CN"/>
        </w:rPr>
        <w:t>1</w:t>
      </w:r>
      <w:r>
        <w:rPr>
          <w:rFonts w:hint="eastAsia" w:ascii="仿宋" w:hAnsi="仿宋" w:eastAsia="仿宋"/>
          <w:sz w:val="32"/>
          <w:szCs w:val="32"/>
        </w:rPr>
        <w:t>年12月31日为基本预算编制基准期。</w:t>
      </w:r>
      <w:r>
        <w:rPr>
          <w:rFonts w:hint="eastAsia" w:ascii="仿宋" w:hAnsi="仿宋" w:eastAsia="仿宋"/>
          <w:sz w:val="32"/>
          <w:szCs w:val="32"/>
          <w:lang w:eastAsia="zh-CN"/>
        </w:rPr>
        <w:t>将</w:t>
      </w:r>
      <w:r>
        <w:rPr>
          <w:rFonts w:hint="eastAsia" w:ascii="仿宋" w:hAnsi="仿宋" w:eastAsia="仿宋"/>
          <w:sz w:val="32"/>
          <w:szCs w:val="32"/>
          <w:lang w:val="en-US" w:eastAsia="zh-CN"/>
        </w:rPr>
        <w:t>2022年人员类支出全面纳入预算管理，采取人员经费按标准客观编㓡人员类支出预算。</w:t>
      </w:r>
    </w:p>
    <w:p w14:paraId="0CE7E8DB">
      <w:pPr>
        <w:numPr>
          <w:ilvl w:val="0"/>
          <w:numId w:val="12"/>
        </w:numPr>
        <w:rPr>
          <w:rFonts w:hint="eastAsia" w:ascii="仿宋" w:hAnsi="仿宋" w:eastAsia="仿宋"/>
          <w:sz w:val="32"/>
          <w:szCs w:val="32"/>
          <w:lang w:val="en-US" w:eastAsia="zh-CN"/>
        </w:rPr>
      </w:pPr>
      <w:r>
        <w:rPr>
          <w:rFonts w:hint="eastAsia" w:ascii="仿宋" w:hAnsi="仿宋" w:eastAsia="仿宋"/>
          <w:sz w:val="32"/>
          <w:szCs w:val="32"/>
          <w:lang w:val="en-US" w:eastAsia="zh-CN"/>
        </w:rPr>
        <w:t>运转类项目绩效分析</w:t>
      </w:r>
    </w:p>
    <w:p w14:paraId="4E633A49">
      <w:pPr>
        <w:ind w:firstLine="640" w:firstLineChars="200"/>
        <w:rPr>
          <w:rFonts w:hint="eastAsia" w:ascii="仿宋" w:hAnsi="仿宋" w:eastAsia="仿宋"/>
          <w:sz w:val="32"/>
          <w:szCs w:val="32"/>
        </w:rPr>
      </w:pPr>
      <w:r>
        <w:rPr>
          <w:rFonts w:hint="eastAsia" w:ascii="仿宋" w:hAnsi="仿宋" w:eastAsia="仿宋"/>
          <w:sz w:val="32"/>
          <w:szCs w:val="32"/>
          <w:lang w:val="en-US" w:eastAsia="zh-CN"/>
        </w:rPr>
        <w:t>单位运转类项目按定额的方法客观编制基本支出预算。</w:t>
      </w:r>
      <w:r>
        <w:rPr>
          <w:rFonts w:hint="eastAsia" w:ascii="仿宋" w:hAnsi="仿宋" w:eastAsia="仿宋"/>
          <w:sz w:val="32"/>
          <w:szCs w:val="32"/>
        </w:rPr>
        <w:t>以节约为本，严格控制在编人员，压缩公用经费支出，特别是严格执中央八项规定，加强公务接待管理。严格执行公务接待管理规定，控制接待费用。按照简化礼仪、务实节俭、杜绝浪费的原则管理和规范公务接待工作，202</w:t>
      </w:r>
      <w:r>
        <w:rPr>
          <w:rFonts w:hint="eastAsia" w:ascii="仿宋" w:hAnsi="仿宋" w:eastAsia="仿宋"/>
          <w:sz w:val="32"/>
          <w:szCs w:val="32"/>
          <w:lang w:val="en-US" w:eastAsia="zh-CN"/>
        </w:rPr>
        <w:t>2</w:t>
      </w:r>
      <w:r>
        <w:rPr>
          <w:rFonts w:hint="eastAsia" w:ascii="仿宋" w:hAnsi="仿宋" w:eastAsia="仿宋"/>
          <w:sz w:val="32"/>
          <w:szCs w:val="32"/>
        </w:rPr>
        <w:t>年我单位无超预算开支“三公”经费。</w:t>
      </w:r>
    </w:p>
    <w:p w14:paraId="2551AAC8">
      <w:pPr>
        <w:numPr>
          <w:ilvl w:val="0"/>
          <w:numId w:val="0"/>
        </w:numPr>
        <w:rPr>
          <w:rFonts w:hint="default" w:ascii="仿宋" w:hAnsi="仿宋" w:eastAsia="仿宋"/>
          <w:sz w:val="32"/>
          <w:szCs w:val="32"/>
          <w:lang w:val="en-US" w:eastAsia="zh-CN"/>
        </w:rPr>
      </w:pPr>
      <w:r>
        <w:rPr>
          <w:rFonts w:hint="eastAsia" w:ascii="仿宋" w:hAnsi="仿宋" w:eastAsia="仿宋"/>
          <w:sz w:val="32"/>
          <w:szCs w:val="32"/>
          <w:lang w:val="en-US" w:eastAsia="zh-CN"/>
        </w:rPr>
        <w:t>3.特定目标类项目绩效分析</w:t>
      </w:r>
    </w:p>
    <w:p w14:paraId="7BB05FBB">
      <w:pPr>
        <w:pStyle w:val="15"/>
        <w:rPr>
          <w:rFonts w:hint="eastAsia" w:ascii="仿宋" w:hAnsi="仿宋" w:eastAsia="仿宋"/>
          <w:sz w:val="32"/>
          <w:szCs w:val="32"/>
          <w:lang w:eastAsia="zh-CN"/>
        </w:rPr>
      </w:pPr>
      <w:r>
        <w:rPr>
          <w:rFonts w:hint="eastAsia" w:ascii="仿宋" w:hAnsi="仿宋" w:eastAsia="仿宋"/>
          <w:sz w:val="32"/>
          <w:szCs w:val="32"/>
          <w:lang w:eastAsia="zh-CN"/>
        </w:rPr>
        <w:t>我单位根据项目要求，对各项目进行充分论证、可行性分析和绩效评估，通过细化支出用途，明确支出范围，采取零基预算方法编制。</w:t>
      </w:r>
    </w:p>
    <w:p w14:paraId="258F5E30">
      <w:pPr>
        <w:pStyle w:val="15"/>
        <w:rPr>
          <w:rFonts w:hint="eastAsia" w:ascii="仿宋" w:hAnsi="仿宋" w:eastAsia="仿宋"/>
          <w:sz w:val="32"/>
          <w:szCs w:val="32"/>
        </w:rPr>
      </w:pPr>
      <w:r>
        <w:rPr>
          <w:rFonts w:hint="eastAsia" w:ascii="仿宋" w:hAnsi="仿宋" w:eastAsia="仿宋"/>
          <w:sz w:val="32"/>
          <w:szCs w:val="32"/>
        </w:rPr>
        <w:t>救助站对流浪乞讨人员的救助是一项临时性社会救助措施。根据《中央财政流浪乞讨人员救助补助资金管理办法》（财社【2014】71号）的要求，救助站对202</w:t>
      </w:r>
      <w:r>
        <w:rPr>
          <w:rFonts w:hint="eastAsia" w:ascii="仿宋" w:hAnsi="仿宋" w:eastAsia="仿宋"/>
          <w:sz w:val="32"/>
          <w:szCs w:val="32"/>
          <w:lang w:val="en-US" w:eastAsia="zh-CN"/>
        </w:rPr>
        <w:t>2</w:t>
      </w:r>
      <w:r>
        <w:rPr>
          <w:rFonts w:hint="eastAsia" w:ascii="仿宋" w:hAnsi="仿宋" w:eastAsia="仿宋"/>
          <w:sz w:val="32"/>
          <w:szCs w:val="32"/>
        </w:rPr>
        <w:t>年流浪乞讨人员救助补助资金实行专款专用，并将专项资金用于对生活无着的流浪乞讨人员主动救助、生活救助、医疗救治、教育矫治、返乡救助、临时安置以及未成年人社会保护等救助保护工作。我单位对流浪乞讨人员救助资金、弃婴生活费、弃婴护理费及救助对象医疗费等四项进行了项目绩效评价。四个项目均按年初预算完成了项目目标。</w:t>
      </w:r>
    </w:p>
    <w:p w14:paraId="3D1CBF21">
      <w:pPr>
        <w:rPr>
          <w:rFonts w:hint="eastAsia" w:ascii="仿宋" w:hAnsi="仿宋" w:eastAsia="仿宋"/>
          <w:sz w:val="32"/>
          <w:szCs w:val="32"/>
          <w:lang w:val="en-US" w:eastAsia="zh-CN"/>
        </w:rPr>
      </w:pPr>
      <w:r>
        <w:rPr>
          <w:rFonts w:hint="eastAsia" w:ascii="仿宋" w:hAnsi="仿宋" w:eastAsia="仿宋"/>
          <w:sz w:val="32"/>
          <w:szCs w:val="32"/>
        </w:rPr>
        <w:t xml:space="preserve">    流浪乞讨人员救助资金</w:t>
      </w:r>
      <w:r>
        <w:rPr>
          <w:rFonts w:hint="eastAsia" w:ascii="仿宋" w:hAnsi="仿宋" w:eastAsia="仿宋"/>
          <w:sz w:val="32"/>
          <w:szCs w:val="32"/>
          <w:lang w:eastAsia="zh-CN"/>
        </w:rPr>
        <w:t>项目预计全年救助</w:t>
      </w:r>
      <w:r>
        <w:rPr>
          <w:rFonts w:hint="eastAsia" w:ascii="仿宋" w:hAnsi="仿宋" w:eastAsia="仿宋"/>
          <w:sz w:val="32"/>
          <w:szCs w:val="32"/>
          <w:lang w:val="en-US" w:eastAsia="zh-CN"/>
        </w:rPr>
        <w:t>400人次，每人救助费控制在55元/人，要达到的效益目标是让每名求助人员得到救助，全年不发生因流乞人员问题发生重大事件。</w:t>
      </w:r>
    </w:p>
    <w:p w14:paraId="6CC4A881">
      <w:pPr>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弃婴生活费项目预计全年救助弃婴3名，每名弃婴的生活费用控制在2916元/人，要达到的效益目标是让弃婴得到充分的生活保障，不发生弃婴遣弃无人管理的事件。</w:t>
      </w:r>
    </w:p>
    <w:p w14:paraId="7E3142DE">
      <w:pPr>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弃婴护理费项目预计全年救助弃婴3人，聘请3名人员进行护理，护理费用控制在4374元/人，要达到的效益目标是开展家庭寄养，让弃婴回归家庭，全年不发生弃婴无人护理。</w:t>
      </w:r>
    </w:p>
    <w:p w14:paraId="684853DA">
      <w:pPr>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救助对象医疗费项目预计全年需要进行医疗救助的人数为200人次，人均医疗费用为85元/人，要达到的效益目标是让生病的流乞人员得到医疗救治，不发生因流乞人员没得到及时救治发生的重大事情。</w:t>
      </w:r>
    </w:p>
    <w:p w14:paraId="7F089BBA">
      <w:pPr>
        <w:numPr>
          <w:ilvl w:val="0"/>
          <w:numId w:val="11"/>
        </w:numPr>
        <w:ind w:left="0" w:leftChars="0" w:firstLine="0" w:firstLineChars="0"/>
        <w:rPr>
          <w:rFonts w:hint="eastAsia" w:ascii="仿宋" w:hAnsi="仿宋" w:eastAsia="仿宋"/>
          <w:sz w:val="32"/>
          <w:szCs w:val="32"/>
          <w:lang w:val="en-US" w:eastAsia="zh-CN"/>
        </w:rPr>
      </w:pPr>
      <w:r>
        <w:rPr>
          <w:rFonts w:hint="eastAsia" w:ascii="仿宋" w:hAnsi="仿宋" w:eastAsia="仿宋"/>
          <w:sz w:val="32"/>
          <w:szCs w:val="32"/>
          <w:lang w:val="en-US" w:eastAsia="zh-CN"/>
        </w:rPr>
        <w:t>部门整体履职绩效分析</w:t>
      </w:r>
    </w:p>
    <w:p w14:paraId="2FD7B661">
      <w:pPr>
        <w:numPr>
          <w:ilvl w:val="0"/>
          <w:numId w:val="0"/>
        </w:numPr>
        <w:ind w:leftChars="0"/>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2022年度，我单位整体绩效目标按照要求及时完成了各项目标任务，保证了部门的正常工作开展，取得了一定的社会效益。</w:t>
      </w:r>
    </w:p>
    <w:p w14:paraId="5D6AEAE5">
      <w:pPr>
        <w:numPr>
          <w:ilvl w:val="0"/>
          <w:numId w:val="0"/>
        </w:numPr>
        <w:ind w:leftChars="0"/>
        <w:rPr>
          <w:rFonts w:hint="eastAsia"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rPr>
        <w:t>结果应用情况</w:t>
      </w:r>
    </w:p>
    <w:p w14:paraId="478791CC">
      <w:pPr>
        <w:numPr>
          <w:ilvl w:val="0"/>
          <w:numId w:val="0"/>
        </w:numPr>
        <w:ind w:leftChars="0" w:firstLine="640"/>
        <w:rPr>
          <w:rFonts w:hint="eastAsia" w:ascii="仿宋" w:hAnsi="仿宋" w:eastAsia="仿宋"/>
          <w:sz w:val="32"/>
          <w:szCs w:val="32"/>
          <w:lang w:val="en-US" w:eastAsia="zh-CN"/>
        </w:rPr>
      </w:pPr>
      <w:r>
        <w:rPr>
          <w:rFonts w:hint="eastAsia" w:ascii="仿宋" w:hAnsi="仿宋" w:eastAsia="仿宋"/>
          <w:sz w:val="32"/>
          <w:szCs w:val="32"/>
          <w:lang w:val="en-US" w:eastAsia="zh-CN"/>
        </w:rPr>
        <w:t>2022年，我单位积极履职，强化管理，较好的完成了年度工作目标。通过加强预算收支管理，不断建立健全内部管理制度，梳理内部管理流程，部门整体支出管理水平得到提升。</w:t>
      </w:r>
    </w:p>
    <w:p w14:paraId="52B7A557">
      <w:pPr>
        <w:numPr>
          <w:ilvl w:val="0"/>
          <w:numId w:val="0"/>
        </w:numPr>
        <w:ind w:leftChars="0"/>
        <w:rPr>
          <w:rFonts w:hint="eastAsia" w:ascii="仿宋" w:hAnsi="仿宋" w:eastAsia="仿宋"/>
          <w:sz w:val="32"/>
          <w:szCs w:val="32"/>
          <w:lang w:val="en-US" w:eastAsia="zh-CN"/>
        </w:rPr>
      </w:pPr>
      <w:r>
        <w:rPr>
          <w:rFonts w:hint="eastAsia" w:ascii="仿宋" w:hAnsi="仿宋" w:eastAsia="仿宋"/>
          <w:sz w:val="32"/>
          <w:szCs w:val="32"/>
          <w:lang w:val="en-US" w:eastAsia="zh-CN"/>
        </w:rPr>
        <w:t>（四）自评质量</w:t>
      </w:r>
    </w:p>
    <w:p w14:paraId="50ED47A4">
      <w:pPr>
        <w:numPr>
          <w:ilvl w:val="0"/>
          <w:numId w:val="0"/>
        </w:numPr>
        <w:ind w:leftChars="0"/>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2022年度部门整体支出绩效评价指标体系评分为93分。</w:t>
      </w:r>
    </w:p>
    <w:p w14:paraId="0A7570E5">
      <w:pPr>
        <w:numPr>
          <w:ilvl w:val="0"/>
          <w:numId w:val="0"/>
        </w:numPr>
        <w:ind w:leftChars="0"/>
        <w:rPr>
          <w:rFonts w:hint="eastAsia" w:ascii="仿宋" w:hAnsi="仿宋" w:eastAsia="仿宋"/>
          <w:sz w:val="32"/>
          <w:szCs w:val="32"/>
          <w:lang w:val="en-US" w:eastAsia="zh-CN"/>
        </w:rPr>
      </w:pPr>
      <w:r>
        <w:rPr>
          <w:rFonts w:hint="eastAsia" w:ascii="仿宋" w:hAnsi="仿宋" w:eastAsia="仿宋"/>
          <w:sz w:val="32"/>
          <w:szCs w:val="32"/>
          <w:lang w:val="en-US" w:eastAsia="zh-CN"/>
        </w:rPr>
        <w:t>四、评价结论及建议</w:t>
      </w:r>
    </w:p>
    <w:p w14:paraId="22811294">
      <w:pPr>
        <w:numPr>
          <w:ilvl w:val="0"/>
          <w:numId w:val="0"/>
        </w:numPr>
        <w:ind w:leftChars="0"/>
        <w:rPr>
          <w:rFonts w:hint="eastAsia" w:ascii="仿宋" w:hAnsi="仿宋" w:eastAsia="仿宋"/>
          <w:sz w:val="32"/>
          <w:szCs w:val="32"/>
          <w:lang w:val="en-US" w:eastAsia="zh-CN"/>
        </w:rPr>
      </w:pPr>
      <w:r>
        <w:rPr>
          <w:rFonts w:hint="eastAsia" w:ascii="仿宋" w:hAnsi="仿宋" w:eastAsia="仿宋"/>
          <w:sz w:val="32"/>
          <w:szCs w:val="32"/>
          <w:lang w:val="en-US" w:eastAsia="zh-CN"/>
        </w:rPr>
        <w:t>（一）评价结论</w:t>
      </w:r>
    </w:p>
    <w:p w14:paraId="492A910D">
      <w:pPr>
        <w:numPr>
          <w:ilvl w:val="0"/>
          <w:numId w:val="0"/>
        </w:numPr>
        <w:ind w:leftChars="0"/>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总体来说，我单位2022年度部门整体支出情况良好，从预算到执行和收入、支出、资产管理及信息公开，都严格按相关制度要求进行，全年收支平衡。有效保证了机构运转，圆满完成了上级下达的目标任务。取得了较大的经济效益，得到了政府部门和社会公众的认可。</w:t>
      </w:r>
    </w:p>
    <w:p w14:paraId="4401A089">
      <w:pPr>
        <w:numPr>
          <w:ilvl w:val="0"/>
          <w:numId w:val="13"/>
        </w:numPr>
        <w:ind w:leftChars="0"/>
        <w:rPr>
          <w:rFonts w:hint="eastAsia" w:ascii="仿宋" w:hAnsi="仿宋" w:eastAsia="仿宋"/>
          <w:sz w:val="32"/>
          <w:szCs w:val="32"/>
          <w:lang w:val="en-US" w:eastAsia="zh-CN"/>
        </w:rPr>
      </w:pPr>
      <w:r>
        <w:rPr>
          <w:rFonts w:hint="eastAsia" w:ascii="仿宋" w:hAnsi="仿宋" w:eastAsia="仿宋"/>
          <w:sz w:val="32"/>
          <w:szCs w:val="32"/>
          <w:lang w:val="en-US" w:eastAsia="zh-CN"/>
        </w:rPr>
        <w:t>存在问题</w:t>
      </w:r>
    </w:p>
    <w:p w14:paraId="7986C75C">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1.人员严重不足，我单位目前工作任务多，由于人</w:t>
      </w:r>
    </w:p>
    <w:p w14:paraId="524B2128">
      <w:pPr>
        <w:numPr>
          <w:ilvl w:val="0"/>
          <w:numId w:val="0"/>
        </w:numPr>
        <w:rPr>
          <w:rFonts w:hint="eastAsia" w:ascii="仿宋" w:hAnsi="仿宋" w:eastAsia="仿宋"/>
          <w:sz w:val="32"/>
          <w:szCs w:val="32"/>
          <w:lang w:val="en-US" w:eastAsia="zh-CN"/>
        </w:rPr>
      </w:pPr>
      <w:r>
        <w:rPr>
          <w:rFonts w:hint="eastAsia" w:ascii="仿宋" w:hAnsi="仿宋" w:eastAsia="仿宋"/>
          <w:sz w:val="32"/>
          <w:szCs w:val="32"/>
          <w:lang w:val="en-US" w:eastAsia="zh-CN"/>
        </w:rPr>
        <w:t>员不足，有些工作项目开展不完全。</w:t>
      </w:r>
    </w:p>
    <w:p w14:paraId="7205BAB7">
      <w:pPr>
        <w:numPr>
          <w:ilvl w:val="0"/>
          <w:numId w:val="0"/>
        </w:num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2.由于社会福利院和未成年人保护中心财政未纳入预算，相应这方面工作未全面开展起来。</w:t>
      </w:r>
    </w:p>
    <w:p w14:paraId="22CA9BAF">
      <w:pPr>
        <w:numPr>
          <w:ilvl w:val="0"/>
          <w:numId w:val="13"/>
        </w:numPr>
        <w:ind w:leftChars="0"/>
        <w:rPr>
          <w:rFonts w:hint="default" w:ascii="仿宋" w:hAnsi="仿宋" w:eastAsia="仿宋"/>
          <w:sz w:val="32"/>
          <w:szCs w:val="32"/>
          <w:lang w:val="en-US" w:eastAsia="zh-CN"/>
        </w:rPr>
      </w:pPr>
      <w:r>
        <w:rPr>
          <w:rFonts w:hint="eastAsia" w:ascii="仿宋" w:hAnsi="仿宋" w:eastAsia="仿宋"/>
          <w:sz w:val="32"/>
          <w:szCs w:val="32"/>
          <w:lang w:val="en-US" w:eastAsia="zh-CN"/>
        </w:rPr>
        <w:t>改进建议</w:t>
      </w:r>
    </w:p>
    <w:p w14:paraId="41C64B7F">
      <w:pPr>
        <w:numPr>
          <w:ilvl w:val="0"/>
          <w:numId w:val="0"/>
        </w:numPr>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我单位在预算绩效管理方面还有待改进和完善，整体支出绩效报告也是在初步摸索的过程中编制的，需要不断的规范和完善。下一步，我单位将进一步健全和完善财务管理制度及内部控制制度，规范和约束机关理财行为和程序，积极探索新形势下部门预算、国库集中支付等财政支出改革的特点，不断更新管理思路，在规范收支和控制经费增长，创新管理手段，用新思路、新方法、改进和完善财政管理办法。按照财政支出绩效管理的要求，建立科学的财政资金效益考评制度体系，牢固树立行政成本意识，不断提高财政资金使用管理的水平和效率，进一步发挥基层单位的职能作用，为我县的福利事为保驾护航，作出更大贡献。</w:t>
      </w:r>
    </w:p>
    <w:p w14:paraId="62AD624B">
      <w:pPr>
        <w:numPr>
          <w:ilvl w:val="0"/>
          <w:numId w:val="0"/>
        </w:numPr>
        <w:rPr>
          <w:rFonts w:hint="default" w:ascii="仿宋" w:hAnsi="仿宋" w:eastAsia="仿宋"/>
          <w:sz w:val="32"/>
          <w:szCs w:val="32"/>
          <w:lang w:val="en-US" w:eastAsia="zh-CN"/>
        </w:rPr>
      </w:pPr>
    </w:p>
    <w:p w14:paraId="67309370">
      <w:pPr>
        <w:spacing w:line="600" w:lineRule="exact"/>
        <w:jc w:val="both"/>
        <w:outlineLvl w:val="0"/>
        <w:rPr>
          <w:rFonts w:hint="eastAsia" w:ascii="黑体" w:hAnsi="黑体" w:eastAsia="黑体"/>
          <w:color w:val="000000"/>
          <w:sz w:val="44"/>
          <w:szCs w:val="44"/>
        </w:rPr>
      </w:pPr>
    </w:p>
    <w:p w14:paraId="7D7BD2A7">
      <w:pPr>
        <w:pStyle w:val="2"/>
        <w:rPr>
          <w:rFonts w:hint="eastAsia"/>
        </w:rPr>
      </w:pPr>
    </w:p>
    <w:p w14:paraId="5A05FD24">
      <w:pPr>
        <w:spacing w:line="600" w:lineRule="exact"/>
        <w:jc w:val="both"/>
        <w:outlineLvl w:val="0"/>
        <w:rPr>
          <w:rFonts w:hint="eastAsia" w:ascii="宋体" w:hAnsi="宋体" w:eastAsia="宋体" w:cs="宋体"/>
          <w:b/>
          <w:bCs/>
          <w:color w:val="auto"/>
          <w:sz w:val="44"/>
          <w:szCs w:val="44"/>
          <w:lang w:val="en-US" w:eastAsia="zh-CN"/>
        </w:rPr>
      </w:pPr>
      <w:r>
        <w:rPr>
          <w:rFonts w:hint="eastAsia" w:ascii="仿宋" w:hAnsi="仿宋" w:eastAsia="仿宋" w:cs="仿宋"/>
          <w:b/>
          <w:bCs/>
          <w:color w:val="auto"/>
          <w:sz w:val="32"/>
          <w:szCs w:val="32"/>
          <w:lang w:eastAsia="zh-CN"/>
        </w:rPr>
        <w:t>附件</w:t>
      </w:r>
      <w:r>
        <w:rPr>
          <w:rFonts w:hint="eastAsia" w:ascii="仿宋" w:hAnsi="仿宋" w:eastAsia="仿宋" w:cs="仿宋"/>
          <w:b/>
          <w:bCs/>
          <w:color w:val="auto"/>
          <w:sz w:val="32"/>
          <w:szCs w:val="32"/>
          <w:lang w:val="en-US" w:eastAsia="zh-CN"/>
        </w:rPr>
        <w:t>2</w:t>
      </w:r>
    </w:p>
    <w:p w14:paraId="4AA6488B">
      <w:pPr>
        <w:spacing w:line="600" w:lineRule="exact"/>
        <w:jc w:val="both"/>
        <w:outlineLvl w:val="0"/>
        <w:rPr>
          <w:rFonts w:hint="eastAsia" w:ascii="黑体" w:hAnsi="黑体" w:eastAsia="黑体"/>
          <w:color w:val="000000"/>
          <w:sz w:val="44"/>
          <w:szCs w:val="44"/>
        </w:rPr>
      </w:pPr>
    </w:p>
    <w:p w14:paraId="24AF12D5">
      <w:pPr>
        <w:jc w:val="center"/>
        <w:rPr>
          <w:rFonts w:hint="eastAsia" w:ascii="仿宋" w:hAnsi="仿宋" w:eastAsia="仿宋"/>
          <w:b/>
          <w:sz w:val="36"/>
          <w:szCs w:val="36"/>
        </w:rPr>
      </w:pPr>
      <w:r>
        <w:rPr>
          <w:rFonts w:hint="eastAsia" w:ascii="仿宋" w:hAnsi="仿宋" w:eastAsia="仿宋"/>
          <w:b/>
          <w:sz w:val="36"/>
          <w:szCs w:val="36"/>
        </w:rPr>
        <w:t>岳池县社会救助福利中心</w:t>
      </w:r>
      <w:r>
        <w:rPr>
          <w:rFonts w:ascii="仿宋" w:hAnsi="仿宋" w:eastAsia="仿宋"/>
          <w:b/>
          <w:sz w:val="36"/>
          <w:szCs w:val="36"/>
        </w:rPr>
        <w:t>202</w:t>
      </w:r>
      <w:r>
        <w:rPr>
          <w:rFonts w:hint="eastAsia" w:ascii="仿宋" w:hAnsi="仿宋" w:eastAsia="仿宋"/>
          <w:b/>
          <w:sz w:val="36"/>
          <w:szCs w:val="36"/>
          <w:lang w:val="en-US" w:eastAsia="zh-CN"/>
        </w:rPr>
        <w:t>2</w:t>
      </w:r>
      <w:r>
        <w:rPr>
          <w:rFonts w:ascii="仿宋" w:hAnsi="仿宋" w:eastAsia="仿宋"/>
          <w:b/>
          <w:sz w:val="36"/>
          <w:szCs w:val="36"/>
        </w:rPr>
        <w:t>年</w:t>
      </w:r>
    </w:p>
    <w:p w14:paraId="2DA9E469">
      <w:pPr>
        <w:jc w:val="center"/>
        <w:rPr>
          <w:rFonts w:hint="eastAsia" w:ascii="仿宋" w:hAnsi="仿宋" w:eastAsia="仿宋"/>
          <w:b/>
          <w:sz w:val="36"/>
          <w:szCs w:val="36"/>
        </w:rPr>
      </w:pPr>
      <w:r>
        <w:rPr>
          <w:rFonts w:hint="eastAsia" w:ascii="仿宋" w:hAnsi="仿宋" w:eastAsia="仿宋"/>
          <w:b/>
          <w:sz w:val="36"/>
          <w:szCs w:val="36"/>
        </w:rPr>
        <w:t>流浪乞讨人员救助资金项目支出绩效自评报告</w:t>
      </w:r>
    </w:p>
    <w:p w14:paraId="4D35D753">
      <w:pPr>
        <w:jc w:val="center"/>
        <w:rPr>
          <w:rFonts w:hint="eastAsia" w:ascii="仿宋" w:hAnsi="仿宋" w:eastAsia="仿宋"/>
          <w:b/>
          <w:sz w:val="36"/>
          <w:szCs w:val="36"/>
        </w:rPr>
      </w:pPr>
    </w:p>
    <w:p w14:paraId="6F3CD5E7">
      <w:pPr>
        <w:ind w:firstLine="640" w:firstLineChars="200"/>
        <w:rPr>
          <w:rFonts w:hint="eastAsia" w:ascii="仿宋" w:hAnsi="仿宋" w:eastAsia="仿宋"/>
          <w:sz w:val="32"/>
          <w:szCs w:val="32"/>
        </w:rPr>
      </w:pPr>
      <w:r>
        <w:rPr>
          <w:rFonts w:hint="eastAsia" w:ascii="仿宋" w:hAnsi="仿宋" w:eastAsia="仿宋"/>
          <w:sz w:val="32"/>
          <w:szCs w:val="32"/>
        </w:rPr>
        <w:t>为进一步管理和使用好财政资金，提高流浪乞讨人员救助补助资金使用效益和项目管理水平，根据《财政部关于印发&lt;财政支出绩效评价管理暂行办法&gt;的通知》，我中心专门成立了绩效评价工作小姐，对202</w:t>
      </w:r>
      <w:r>
        <w:rPr>
          <w:rFonts w:hint="eastAsia" w:ascii="仿宋" w:hAnsi="仿宋" w:eastAsia="仿宋"/>
          <w:sz w:val="32"/>
          <w:szCs w:val="32"/>
          <w:lang w:val="en-US" w:eastAsia="zh-CN"/>
        </w:rPr>
        <w:t>2</w:t>
      </w:r>
      <w:r>
        <w:rPr>
          <w:rFonts w:hint="eastAsia" w:ascii="仿宋" w:hAnsi="仿宋" w:eastAsia="仿宋"/>
          <w:sz w:val="32"/>
          <w:szCs w:val="32"/>
        </w:rPr>
        <w:t>年度流浪乞讨人员救助补助资金使用与管理开展了绩效评价，绩效评价自评报告如下：</w:t>
      </w:r>
    </w:p>
    <w:p w14:paraId="23405318">
      <w:pPr>
        <w:pStyle w:val="15"/>
        <w:numPr>
          <w:ilvl w:val="0"/>
          <w:numId w:val="14"/>
        </w:numPr>
        <w:ind w:firstLineChars="0"/>
        <w:rPr>
          <w:rFonts w:hint="eastAsia" w:ascii="仿宋" w:hAnsi="仿宋" w:eastAsia="仿宋"/>
          <w:sz w:val="32"/>
          <w:szCs w:val="32"/>
        </w:rPr>
      </w:pPr>
      <w:r>
        <w:rPr>
          <w:rFonts w:hint="eastAsia" w:ascii="仿宋" w:hAnsi="仿宋" w:eastAsia="仿宋"/>
          <w:sz w:val="32"/>
          <w:szCs w:val="32"/>
        </w:rPr>
        <w:t>项目概况</w:t>
      </w:r>
    </w:p>
    <w:p w14:paraId="0A808599">
      <w:pPr>
        <w:pStyle w:val="15"/>
        <w:numPr>
          <w:ilvl w:val="0"/>
          <w:numId w:val="0"/>
        </w:numPr>
        <w:ind w:leftChars="0"/>
        <w:rPr>
          <w:rFonts w:hint="eastAsia" w:ascii="仿宋" w:hAnsi="仿宋" w:eastAsia="仿宋"/>
          <w:sz w:val="32"/>
          <w:szCs w:val="32"/>
          <w:lang w:eastAsia="zh-CN"/>
        </w:rPr>
      </w:pPr>
      <w:r>
        <w:rPr>
          <w:rFonts w:hint="eastAsia" w:ascii="仿宋" w:hAnsi="仿宋" w:eastAsia="仿宋"/>
          <w:sz w:val="32"/>
          <w:szCs w:val="32"/>
          <w:lang w:eastAsia="zh-CN"/>
        </w:rPr>
        <w:t>（一）项目基本情况</w:t>
      </w:r>
    </w:p>
    <w:p w14:paraId="636FD7F8">
      <w:pPr>
        <w:ind w:left="720"/>
        <w:rPr>
          <w:rFonts w:hint="eastAsia" w:ascii="仿宋" w:hAnsi="仿宋" w:eastAsia="仿宋"/>
          <w:sz w:val="32"/>
          <w:szCs w:val="32"/>
        </w:rPr>
      </w:pPr>
      <w:r>
        <w:rPr>
          <w:rFonts w:hint="eastAsia" w:ascii="仿宋" w:hAnsi="仿宋" w:eastAsia="仿宋"/>
          <w:sz w:val="32"/>
          <w:szCs w:val="32"/>
        </w:rPr>
        <w:t>救助站对流浪乞讨人员的救助是一项临时性社会救助</w:t>
      </w:r>
    </w:p>
    <w:p w14:paraId="7E5593C5">
      <w:pPr>
        <w:rPr>
          <w:rFonts w:hint="eastAsia" w:ascii="仿宋" w:hAnsi="仿宋" w:eastAsia="仿宋"/>
          <w:sz w:val="32"/>
          <w:szCs w:val="32"/>
        </w:rPr>
      </w:pPr>
      <w:r>
        <w:rPr>
          <w:rFonts w:hint="eastAsia" w:ascii="仿宋" w:hAnsi="仿宋" w:eastAsia="仿宋"/>
          <w:sz w:val="32"/>
          <w:szCs w:val="32"/>
        </w:rPr>
        <w:t>措施。根据《中央财政流浪乞讨人员救助补助资金管理办法》（财社【2014】71号）的要求，救助站对202</w:t>
      </w:r>
      <w:r>
        <w:rPr>
          <w:rFonts w:hint="eastAsia" w:ascii="仿宋" w:hAnsi="仿宋" w:eastAsia="仿宋"/>
          <w:sz w:val="32"/>
          <w:szCs w:val="32"/>
          <w:lang w:val="en-US" w:eastAsia="zh-CN"/>
        </w:rPr>
        <w:t>2</w:t>
      </w:r>
      <w:r>
        <w:rPr>
          <w:rFonts w:hint="eastAsia" w:ascii="仿宋" w:hAnsi="仿宋" w:eastAsia="仿宋"/>
          <w:sz w:val="32"/>
          <w:szCs w:val="32"/>
        </w:rPr>
        <w:t>年流浪乞讨人员救助补助专项资金实行专款专用，并将专项资金用于生活无着的流浪乞讨人员主动救助、生活救助、医疗救治、教育矫治、返乡救助、临时安置以及未成年人社会保护等救助保护工作。</w:t>
      </w:r>
    </w:p>
    <w:p w14:paraId="5D9CA78D">
      <w:pPr>
        <w:ind w:firstLine="645"/>
        <w:rPr>
          <w:rFonts w:hint="eastAsia" w:ascii="仿宋" w:hAnsi="仿宋" w:eastAsia="仿宋"/>
          <w:sz w:val="32"/>
          <w:szCs w:val="32"/>
        </w:rPr>
      </w:pPr>
      <w:r>
        <w:rPr>
          <w:rFonts w:hint="eastAsia" w:ascii="仿宋" w:hAnsi="仿宋" w:eastAsia="仿宋"/>
          <w:sz w:val="32"/>
          <w:szCs w:val="32"/>
        </w:rPr>
        <w:t>做好城市流浪乞讨人员的救助和管理这项工作，是落实科学发展观和构建社会主义和谐社会的必然要求，也是解决流浪乞讨人员基本生存问题的重要举措。对提升城市形象、维护社会稳定、促进社会和谐发展起到了关键性的作用。做好流乞人员的生活保障对社会稳定起到了至关重要的作用。</w:t>
      </w:r>
    </w:p>
    <w:p w14:paraId="227619D0">
      <w:pPr>
        <w:numPr>
          <w:ilvl w:val="0"/>
          <w:numId w:val="0"/>
        </w:numPr>
        <w:ind w:leftChars="0"/>
        <w:rPr>
          <w:rFonts w:hint="eastAsia" w:ascii="仿宋" w:hAnsi="仿宋" w:eastAsia="仿宋"/>
          <w:sz w:val="32"/>
          <w:szCs w:val="32"/>
          <w:lang w:eastAsia="zh-CN"/>
        </w:rPr>
      </w:pPr>
      <w:r>
        <w:rPr>
          <w:rFonts w:hint="eastAsia" w:ascii="仿宋" w:hAnsi="仿宋" w:eastAsia="仿宋"/>
          <w:sz w:val="32"/>
          <w:szCs w:val="32"/>
          <w:lang w:eastAsia="zh-CN"/>
        </w:rPr>
        <w:t>（二）项目绩效目标</w:t>
      </w:r>
    </w:p>
    <w:p w14:paraId="6FFE75FC">
      <w:pPr>
        <w:ind w:firstLine="645"/>
        <w:rPr>
          <w:rFonts w:hint="eastAsia" w:ascii="仿宋" w:hAnsi="仿宋" w:eastAsia="仿宋"/>
          <w:sz w:val="32"/>
          <w:szCs w:val="32"/>
        </w:rPr>
      </w:pPr>
      <w:r>
        <w:rPr>
          <w:rFonts w:hint="eastAsia" w:ascii="仿宋" w:hAnsi="仿宋" w:eastAsia="仿宋"/>
          <w:sz w:val="32"/>
          <w:szCs w:val="32"/>
        </w:rPr>
        <w:t>流浪乞讨人员救助资金项目的主要内容是完成对流浪乞讨人员进行生活救助及返乡救助。</w:t>
      </w:r>
    </w:p>
    <w:p w14:paraId="5B6961EC">
      <w:pPr>
        <w:ind w:firstLine="645"/>
        <w:rPr>
          <w:rFonts w:hint="eastAsia" w:ascii="仿宋" w:hAnsi="仿宋" w:eastAsia="仿宋"/>
          <w:sz w:val="32"/>
          <w:szCs w:val="32"/>
        </w:rPr>
      </w:pPr>
      <w:r>
        <w:rPr>
          <w:rFonts w:hint="eastAsia" w:ascii="仿宋" w:hAnsi="仿宋" w:eastAsia="仿宋"/>
          <w:sz w:val="32"/>
          <w:szCs w:val="32"/>
        </w:rPr>
        <w:t>流浪乞讨人员救助资金项目预计全年需要完成对400人次的流乞人中进行救助，人均救助费用为55元/人，要达到的效益目标是让每名求助人员得到及时救助，不发生因流乞人员没有得到及时救助发生的重大事情。流浪乞讨人中救助资金项目满意度达到95%以上。</w:t>
      </w:r>
    </w:p>
    <w:p w14:paraId="729977C4">
      <w:pPr>
        <w:numPr>
          <w:ilvl w:val="0"/>
          <w:numId w:val="0"/>
        </w:numPr>
        <w:ind w:leftChars="0"/>
        <w:rPr>
          <w:rFonts w:hint="eastAsia" w:ascii="仿宋" w:hAnsi="仿宋" w:eastAsia="仿宋"/>
          <w:sz w:val="32"/>
          <w:szCs w:val="32"/>
          <w:lang w:eastAsia="zh-CN"/>
        </w:rPr>
      </w:pPr>
      <w:r>
        <w:rPr>
          <w:rFonts w:hint="eastAsia" w:ascii="仿宋" w:hAnsi="仿宋" w:eastAsia="仿宋"/>
          <w:sz w:val="32"/>
          <w:szCs w:val="32"/>
          <w:lang w:eastAsia="zh-CN"/>
        </w:rPr>
        <w:t>（三）项目自评步骤及方法</w:t>
      </w:r>
    </w:p>
    <w:p w14:paraId="18DF4BBB">
      <w:pPr>
        <w:numPr>
          <w:ilvl w:val="0"/>
          <w:numId w:val="0"/>
        </w:numPr>
        <w:ind w:leftChars="0" w:firstLine="640"/>
        <w:rPr>
          <w:rFonts w:hint="eastAsia" w:ascii="仿宋" w:hAnsi="仿宋" w:eastAsia="仿宋"/>
          <w:sz w:val="32"/>
          <w:szCs w:val="32"/>
          <w:lang w:val="en-US" w:eastAsia="zh-CN"/>
        </w:rPr>
      </w:pPr>
      <w:r>
        <w:rPr>
          <w:rFonts w:hint="eastAsia" w:ascii="仿宋" w:hAnsi="仿宋" w:eastAsia="仿宋"/>
          <w:sz w:val="32"/>
          <w:szCs w:val="32"/>
          <w:lang w:val="en-US" w:eastAsia="zh-CN"/>
        </w:rPr>
        <w:t>流浪乞讨人员救助资金项目绩效自评以单位自评为主、上级部门抽评为辅的方式。</w:t>
      </w:r>
    </w:p>
    <w:p w14:paraId="249FF05F">
      <w:pPr>
        <w:numPr>
          <w:ilvl w:val="0"/>
          <w:numId w:val="0"/>
        </w:numPr>
        <w:rPr>
          <w:rFonts w:hint="default" w:ascii="仿宋" w:hAnsi="仿宋" w:eastAsia="仿宋"/>
          <w:sz w:val="32"/>
          <w:szCs w:val="32"/>
          <w:lang w:val="en-US" w:eastAsia="zh-CN"/>
        </w:rPr>
      </w:pPr>
      <w:r>
        <w:rPr>
          <w:rFonts w:hint="eastAsia" w:ascii="仿宋" w:hAnsi="仿宋" w:eastAsia="仿宋"/>
          <w:sz w:val="32"/>
          <w:szCs w:val="32"/>
          <w:lang w:val="en-US" w:eastAsia="zh-CN"/>
        </w:rPr>
        <w:t>二、项目资金申报及使用情况</w:t>
      </w:r>
    </w:p>
    <w:p w14:paraId="33F275D2">
      <w:pPr>
        <w:pStyle w:val="15"/>
        <w:numPr>
          <w:ilvl w:val="0"/>
          <w:numId w:val="15"/>
        </w:numPr>
        <w:ind w:firstLineChars="0"/>
        <w:rPr>
          <w:rFonts w:hint="eastAsia" w:ascii="仿宋" w:hAnsi="仿宋" w:eastAsia="仿宋"/>
          <w:sz w:val="32"/>
          <w:szCs w:val="32"/>
        </w:rPr>
      </w:pPr>
      <w:r>
        <w:rPr>
          <w:rFonts w:hint="eastAsia" w:ascii="仿宋" w:hAnsi="仿宋" w:eastAsia="仿宋"/>
          <w:sz w:val="32"/>
          <w:szCs w:val="32"/>
        </w:rPr>
        <w:t>项目资金申报及批复情况</w:t>
      </w:r>
    </w:p>
    <w:p w14:paraId="38063E23">
      <w:pPr>
        <w:ind w:firstLine="645"/>
        <w:rPr>
          <w:rFonts w:hint="eastAsia" w:ascii="仿宋" w:hAnsi="仿宋" w:eastAsia="仿宋"/>
          <w:sz w:val="32"/>
          <w:szCs w:val="32"/>
        </w:rPr>
      </w:pPr>
      <w:r>
        <w:rPr>
          <w:rFonts w:hint="eastAsia" w:ascii="仿宋" w:hAnsi="仿宋" w:eastAsia="仿宋"/>
          <w:sz w:val="32"/>
          <w:szCs w:val="32"/>
        </w:rPr>
        <w:t>流浪乞讨人员救助资金项目按照国家的相关法律法规、国民经济发展规划和党委政府决定，并结合我县实际，量化救助标准，分类实施救助，全力做好辖区内生活无着流浪乞讨人员的生活救助及返乡救助工作。</w:t>
      </w:r>
    </w:p>
    <w:p w14:paraId="717DB6A8">
      <w:pPr>
        <w:ind w:firstLine="645"/>
        <w:rPr>
          <w:rFonts w:hint="eastAsia" w:ascii="仿宋" w:hAnsi="仿宋" w:eastAsia="仿宋"/>
          <w:sz w:val="32"/>
          <w:szCs w:val="32"/>
        </w:rPr>
      </w:pPr>
      <w:r>
        <w:rPr>
          <w:rFonts w:hint="eastAsia" w:ascii="仿宋" w:hAnsi="仿宋" w:eastAsia="仿宋"/>
          <w:sz w:val="32"/>
          <w:szCs w:val="32"/>
        </w:rPr>
        <w:t>经县人大会议审议通过，流浪乞讨人员救助资金项目纳入年度预算管理。</w:t>
      </w:r>
    </w:p>
    <w:p w14:paraId="34DAB708">
      <w:pPr>
        <w:numPr>
          <w:ilvl w:val="0"/>
          <w:numId w:val="15"/>
        </w:numPr>
        <w:ind w:left="1080" w:leftChars="0" w:hanging="1080" w:firstLineChars="0"/>
        <w:rPr>
          <w:rFonts w:hint="eastAsia" w:ascii="仿宋" w:hAnsi="仿宋" w:eastAsia="仿宋"/>
          <w:sz w:val="32"/>
          <w:szCs w:val="32"/>
          <w:lang w:eastAsia="zh-CN"/>
        </w:rPr>
      </w:pPr>
      <w:r>
        <w:rPr>
          <w:rFonts w:hint="eastAsia" w:ascii="仿宋" w:hAnsi="仿宋" w:eastAsia="仿宋"/>
          <w:sz w:val="32"/>
          <w:szCs w:val="32"/>
          <w:lang w:eastAsia="zh-CN"/>
        </w:rPr>
        <w:t>资金计划、到位及使用情况</w:t>
      </w:r>
    </w:p>
    <w:p w14:paraId="12B7B741">
      <w:pPr>
        <w:numPr>
          <w:ilvl w:val="0"/>
          <w:numId w:val="0"/>
        </w:numPr>
        <w:ind w:left="640" w:leftChars="0"/>
        <w:rPr>
          <w:rFonts w:hint="eastAsia" w:ascii="仿宋" w:hAnsi="仿宋" w:eastAsia="仿宋"/>
          <w:sz w:val="32"/>
          <w:szCs w:val="32"/>
          <w:lang w:val="en-US" w:eastAsia="zh-CN"/>
        </w:rPr>
      </w:pPr>
      <w:r>
        <w:rPr>
          <w:rFonts w:hint="eastAsia" w:ascii="仿宋" w:hAnsi="仿宋" w:eastAsia="仿宋"/>
          <w:sz w:val="32"/>
          <w:szCs w:val="32"/>
          <w:lang w:val="en-US" w:eastAsia="zh-CN"/>
        </w:rPr>
        <w:t>1.资金计划</w:t>
      </w:r>
    </w:p>
    <w:p w14:paraId="31691968">
      <w:pPr>
        <w:ind w:firstLine="645"/>
        <w:rPr>
          <w:rFonts w:hint="eastAsia" w:ascii="仿宋" w:hAnsi="仿宋" w:eastAsia="仿宋"/>
          <w:sz w:val="32"/>
          <w:szCs w:val="32"/>
        </w:rPr>
      </w:pPr>
      <w:r>
        <w:rPr>
          <w:rFonts w:hint="eastAsia" w:ascii="仿宋" w:hAnsi="仿宋" w:eastAsia="仿宋"/>
          <w:sz w:val="32"/>
          <w:szCs w:val="32"/>
        </w:rPr>
        <w:t>按照《四川省流浪乞讨人员救助补助资金管理办法》的规定，将流浪乞讨人员的救助资金纳入年度预算。</w:t>
      </w:r>
    </w:p>
    <w:p w14:paraId="03EDC7BE">
      <w:pPr>
        <w:numPr>
          <w:ilvl w:val="0"/>
          <w:numId w:val="0"/>
        </w:numPr>
        <w:ind w:leftChars="0"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2.资金到位</w:t>
      </w:r>
    </w:p>
    <w:p w14:paraId="071CA6DA">
      <w:pPr>
        <w:ind w:firstLine="645"/>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年流浪乞讨人员救助资金项目预算金额为2.19万元，已全部拨付到位，资金到位率为100%。</w:t>
      </w:r>
    </w:p>
    <w:p w14:paraId="19BA1F7A">
      <w:pPr>
        <w:numPr>
          <w:ilvl w:val="0"/>
          <w:numId w:val="0"/>
        </w:numPr>
        <w:ind w:leftChars="0"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3.资金使用</w:t>
      </w:r>
    </w:p>
    <w:p w14:paraId="6B864B4B">
      <w:pPr>
        <w:ind w:firstLine="645"/>
        <w:rPr>
          <w:rFonts w:hint="eastAsia" w:ascii="仿宋" w:hAnsi="仿宋" w:eastAsia="仿宋"/>
          <w:sz w:val="32"/>
          <w:szCs w:val="32"/>
        </w:rPr>
      </w:pPr>
      <w:r>
        <w:rPr>
          <w:rFonts w:hint="eastAsia" w:ascii="仿宋" w:hAnsi="仿宋" w:eastAsia="仿宋"/>
          <w:sz w:val="32"/>
          <w:szCs w:val="32"/>
          <w:lang w:eastAsia="zh-CN"/>
        </w:rPr>
        <w:t>截至</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年12月30日，流浪乞讨人员救助资金实际支出为2.19万元，主要用于对流乞人员进行生活救助及返乡救助支出，支付依据按照救助补助资金使用办法合规合法的进行使用。资金支付与预算相符。</w:t>
      </w:r>
    </w:p>
    <w:p w14:paraId="7E03519E">
      <w:pPr>
        <w:pStyle w:val="15"/>
        <w:numPr>
          <w:ilvl w:val="0"/>
          <w:numId w:val="0"/>
        </w:numPr>
        <w:ind w:leftChars="0"/>
        <w:rPr>
          <w:rFonts w:hint="eastAsia"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rPr>
        <w:t>项目财务管理情况</w:t>
      </w:r>
    </w:p>
    <w:p w14:paraId="59401377">
      <w:pPr>
        <w:ind w:firstLine="645"/>
        <w:rPr>
          <w:rFonts w:hint="eastAsia" w:ascii="仿宋" w:hAnsi="仿宋" w:eastAsia="仿宋"/>
          <w:sz w:val="32"/>
          <w:szCs w:val="32"/>
        </w:rPr>
      </w:pPr>
      <w:r>
        <w:rPr>
          <w:rFonts w:hint="eastAsia" w:ascii="仿宋" w:hAnsi="仿宋" w:eastAsia="仿宋"/>
          <w:sz w:val="32"/>
          <w:szCs w:val="32"/>
        </w:rPr>
        <w:t>根据省上对流浪乞讨人员救助资金有关规定的要求，对流浪乞讨人员救助资金项目的使用符合相关财务会计制度，资金的拨付有完整的审批程序和手续，实行专账管理，并按照具体救助的支出项目单独记账，资金不存在挤占、挪用、套取等情况。建立健全流浪乞讨人员救助资金监管机制，定期对补助资金使用情况进行检查，对检查发现的问题及时进行了整改。</w:t>
      </w:r>
    </w:p>
    <w:p w14:paraId="5A31766E">
      <w:pPr>
        <w:rPr>
          <w:rFonts w:hint="eastAsia" w:ascii="仿宋" w:hAnsi="仿宋" w:eastAsia="仿宋"/>
          <w:sz w:val="32"/>
          <w:szCs w:val="32"/>
          <w:lang w:eastAsia="zh-CN"/>
        </w:rPr>
      </w:pPr>
      <w:r>
        <w:rPr>
          <w:rFonts w:hint="eastAsia" w:ascii="仿宋" w:hAnsi="仿宋" w:eastAsia="仿宋"/>
          <w:sz w:val="32"/>
          <w:szCs w:val="32"/>
          <w:lang w:eastAsia="zh-CN"/>
        </w:rPr>
        <w:t>三、项目实施及管理情况</w:t>
      </w:r>
    </w:p>
    <w:p w14:paraId="7F7DD1EE">
      <w:pPr>
        <w:pStyle w:val="15"/>
        <w:numPr>
          <w:ilvl w:val="0"/>
          <w:numId w:val="16"/>
        </w:numPr>
        <w:ind w:firstLineChars="0"/>
        <w:rPr>
          <w:rFonts w:hint="eastAsia" w:ascii="仿宋" w:hAnsi="仿宋" w:eastAsia="仿宋"/>
          <w:sz w:val="32"/>
          <w:szCs w:val="32"/>
        </w:rPr>
      </w:pPr>
      <w:r>
        <w:rPr>
          <w:rFonts w:hint="eastAsia" w:ascii="仿宋" w:hAnsi="仿宋" w:eastAsia="仿宋"/>
          <w:sz w:val="32"/>
          <w:szCs w:val="32"/>
        </w:rPr>
        <w:t>项目组织</w:t>
      </w:r>
      <w:r>
        <w:rPr>
          <w:rFonts w:hint="eastAsia" w:ascii="仿宋" w:hAnsi="仿宋" w:eastAsia="仿宋"/>
          <w:sz w:val="32"/>
          <w:szCs w:val="32"/>
          <w:lang w:eastAsia="zh-CN"/>
        </w:rPr>
        <w:t>架构及实施流程</w:t>
      </w:r>
    </w:p>
    <w:p w14:paraId="7DE043DC">
      <w:pPr>
        <w:ind w:firstLine="640"/>
        <w:rPr>
          <w:rFonts w:hint="eastAsia" w:ascii="仿宋" w:hAnsi="仿宋" w:eastAsia="仿宋"/>
          <w:sz w:val="32"/>
          <w:szCs w:val="32"/>
          <w:lang w:eastAsia="zh-CN"/>
        </w:rPr>
      </w:pPr>
      <w:r>
        <w:rPr>
          <w:rFonts w:hint="eastAsia" w:ascii="仿宋" w:hAnsi="仿宋" w:eastAsia="仿宋"/>
          <w:sz w:val="32"/>
          <w:szCs w:val="32"/>
        </w:rPr>
        <w:t>按照省民政厅、财政厅制定的要求，结合实际，细化措施。</w:t>
      </w:r>
      <w:r>
        <w:rPr>
          <w:rFonts w:hint="eastAsia" w:ascii="仿宋" w:hAnsi="仿宋" w:eastAsia="仿宋"/>
          <w:sz w:val="32"/>
          <w:szCs w:val="32"/>
          <w:lang w:eastAsia="zh-CN"/>
        </w:rPr>
        <w:t>根据省上要求制定了流浪乞讨人员生活救助及返乡救助标准，受助人员生活标准参照当地低保人群的生活标准执行。对救助管理工作定期开展检查，对检查或抽查发现的问题及时进行了整改。</w:t>
      </w:r>
    </w:p>
    <w:p w14:paraId="4838AB20">
      <w:pPr>
        <w:numPr>
          <w:ilvl w:val="0"/>
          <w:numId w:val="16"/>
        </w:numPr>
        <w:ind w:left="1080" w:leftChars="0" w:hanging="1080" w:firstLineChars="0"/>
        <w:rPr>
          <w:rFonts w:hint="eastAsia" w:ascii="仿宋" w:hAnsi="仿宋" w:eastAsia="仿宋"/>
          <w:sz w:val="32"/>
          <w:szCs w:val="32"/>
          <w:lang w:eastAsia="zh-CN"/>
        </w:rPr>
      </w:pPr>
      <w:r>
        <w:rPr>
          <w:rFonts w:hint="eastAsia" w:ascii="仿宋" w:hAnsi="仿宋" w:eastAsia="仿宋"/>
          <w:sz w:val="32"/>
          <w:szCs w:val="32"/>
          <w:lang w:eastAsia="zh-CN"/>
        </w:rPr>
        <w:t>项目管理情况</w:t>
      </w:r>
    </w:p>
    <w:p w14:paraId="77EA0029">
      <w:pPr>
        <w:numPr>
          <w:ilvl w:val="0"/>
          <w:numId w:val="0"/>
        </w:numPr>
        <w:ind w:leftChars="0" w:firstLine="640"/>
        <w:rPr>
          <w:rFonts w:hint="eastAsia" w:ascii="仿宋" w:hAnsi="仿宋" w:eastAsia="仿宋"/>
          <w:sz w:val="32"/>
          <w:szCs w:val="32"/>
          <w:lang w:val="en-US" w:eastAsia="zh-CN"/>
        </w:rPr>
      </w:pPr>
      <w:r>
        <w:rPr>
          <w:rFonts w:hint="eastAsia" w:ascii="仿宋" w:hAnsi="仿宋" w:eastAsia="仿宋"/>
          <w:sz w:val="32"/>
          <w:szCs w:val="32"/>
          <w:lang w:val="en-US" w:eastAsia="zh-CN"/>
        </w:rPr>
        <w:t>流浪乞讨人员救助资金项目严格按照省民政厅、财政厅制定的使用范围，不超标准超范围使用资金。</w:t>
      </w:r>
    </w:p>
    <w:p w14:paraId="4F5A95E4">
      <w:pPr>
        <w:numPr>
          <w:ilvl w:val="0"/>
          <w:numId w:val="16"/>
        </w:numPr>
        <w:ind w:left="1080" w:leftChars="0" w:hanging="1080" w:firstLineChars="0"/>
        <w:rPr>
          <w:rFonts w:hint="eastAsia" w:ascii="仿宋" w:hAnsi="仿宋" w:eastAsia="仿宋"/>
          <w:sz w:val="32"/>
          <w:szCs w:val="32"/>
          <w:lang w:val="en-US" w:eastAsia="zh-CN"/>
        </w:rPr>
      </w:pPr>
      <w:r>
        <w:rPr>
          <w:rFonts w:hint="eastAsia" w:ascii="仿宋" w:hAnsi="仿宋" w:eastAsia="仿宋"/>
          <w:sz w:val="32"/>
          <w:szCs w:val="32"/>
          <w:lang w:val="en-US" w:eastAsia="zh-CN"/>
        </w:rPr>
        <w:t>项目监管情况</w:t>
      </w:r>
    </w:p>
    <w:p w14:paraId="39D253DA">
      <w:pPr>
        <w:numPr>
          <w:ilvl w:val="0"/>
          <w:numId w:val="0"/>
        </w:numPr>
        <w:ind w:leftChars="0" w:firstLine="640"/>
        <w:rPr>
          <w:rFonts w:hint="eastAsia" w:ascii="仿宋" w:hAnsi="仿宋" w:eastAsia="仿宋"/>
          <w:sz w:val="32"/>
          <w:szCs w:val="32"/>
          <w:lang w:val="en-US" w:eastAsia="zh-CN"/>
        </w:rPr>
      </w:pPr>
      <w:r>
        <w:rPr>
          <w:rFonts w:hint="eastAsia" w:ascii="仿宋" w:hAnsi="仿宋" w:eastAsia="仿宋"/>
          <w:sz w:val="32"/>
          <w:szCs w:val="32"/>
          <w:lang w:val="en-US" w:eastAsia="zh-CN"/>
        </w:rPr>
        <w:t>县财政局、民政局对流浪乞讨人员救助资金绩效目标实现情况进行监控、确保绩效目标如期实现。</w:t>
      </w:r>
    </w:p>
    <w:p w14:paraId="28361F8C">
      <w:pPr>
        <w:numPr>
          <w:ilvl w:val="0"/>
          <w:numId w:val="0"/>
        </w:numPr>
        <w:rPr>
          <w:rFonts w:hint="eastAsia" w:ascii="仿宋" w:hAnsi="仿宋" w:eastAsia="仿宋"/>
          <w:sz w:val="32"/>
          <w:szCs w:val="32"/>
          <w:lang w:eastAsia="zh-CN"/>
        </w:rPr>
      </w:pPr>
      <w:r>
        <w:rPr>
          <w:rFonts w:hint="eastAsia" w:ascii="仿宋" w:hAnsi="仿宋" w:eastAsia="仿宋"/>
          <w:sz w:val="32"/>
          <w:szCs w:val="32"/>
          <w:lang w:eastAsia="zh-CN"/>
        </w:rPr>
        <w:t>四、项目绩效情况</w:t>
      </w:r>
    </w:p>
    <w:p w14:paraId="74A38CC0">
      <w:pPr>
        <w:numPr>
          <w:ilvl w:val="0"/>
          <w:numId w:val="17"/>
        </w:numPr>
        <w:ind w:leftChars="0"/>
        <w:rPr>
          <w:rFonts w:hint="eastAsia" w:ascii="仿宋" w:hAnsi="仿宋" w:eastAsia="仿宋"/>
          <w:sz w:val="32"/>
          <w:szCs w:val="32"/>
          <w:lang w:eastAsia="zh-CN"/>
        </w:rPr>
      </w:pPr>
      <w:r>
        <w:rPr>
          <w:rFonts w:hint="eastAsia" w:ascii="仿宋" w:hAnsi="仿宋" w:eastAsia="仿宋"/>
          <w:sz w:val="32"/>
          <w:szCs w:val="32"/>
          <w:lang w:eastAsia="zh-CN"/>
        </w:rPr>
        <w:t>项目完成情况</w:t>
      </w:r>
    </w:p>
    <w:p w14:paraId="12B52AC9">
      <w:pPr>
        <w:numPr>
          <w:ilvl w:val="0"/>
          <w:numId w:val="0"/>
        </w:numPr>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截至目前，我单位已经对164人次进行了救助，对入站的流浪乞讨人员全部进行了生活救助，已完成全年任务的100%。</w:t>
      </w:r>
    </w:p>
    <w:p w14:paraId="5B06D91C">
      <w:pPr>
        <w:numPr>
          <w:ilvl w:val="0"/>
          <w:numId w:val="17"/>
        </w:numPr>
        <w:ind w:left="0" w:leftChars="0" w:firstLine="0" w:firstLineChars="0"/>
        <w:rPr>
          <w:rFonts w:hint="eastAsia" w:ascii="仿宋" w:hAnsi="仿宋" w:eastAsia="仿宋"/>
          <w:sz w:val="32"/>
          <w:szCs w:val="32"/>
          <w:lang w:val="en-US" w:eastAsia="zh-CN"/>
        </w:rPr>
      </w:pPr>
      <w:r>
        <w:rPr>
          <w:rFonts w:hint="eastAsia" w:ascii="仿宋" w:hAnsi="仿宋" w:eastAsia="仿宋"/>
          <w:sz w:val="32"/>
          <w:szCs w:val="32"/>
          <w:lang w:val="en-US" w:eastAsia="zh-CN"/>
        </w:rPr>
        <w:t>项目效益情况</w:t>
      </w:r>
    </w:p>
    <w:p w14:paraId="44178CD6">
      <w:pPr>
        <w:numPr>
          <w:ilvl w:val="0"/>
          <w:numId w:val="0"/>
        </w:numPr>
        <w:ind w:leftChars="0" w:firstLine="640"/>
        <w:rPr>
          <w:rFonts w:hint="eastAsia" w:ascii="仿宋" w:hAnsi="仿宋" w:eastAsia="仿宋"/>
          <w:sz w:val="32"/>
          <w:szCs w:val="32"/>
          <w:lang w:val="en-US" w:eastAsia="zh-CN"/>
        </w:rPr>
      </w:pPr>
      <w:r>
        <w:rPr>
          <w:rFonts w:hint="eastAsia" w:ascii="仿宋" w:hAnsi="仿宋" w:eastAsia="仿宋"/>
          <w:sz w:val="32"/>
          <w:szCs w:val="32"/>
          <w:lang w:val="en-US" w:eastAsia="zh-CN"/>
        </w:rPr>
        <w:t>流浪乞讨人员救助资金项目的社会效益指标是没有发生因流乞人员没有得到及时救助发生重大事件；可持续影响是流乞人员得到及时救助持续发挥效益；无流乞人员满意度</w:t>
      </w:r>
      <w:r>
        <w:rPr>
          <w:rFonts w:hint="default" w:ascii="Arial" w:hAnsi="Arial" w:eastAsia="仿宋" w:cs="Arial"/>
          <w:sz w:val="32"/>
          <w:szCs w:val="32"/>
          <w:lang w:val="en-US" w:eastAsia="zh-CN"/>
        </w:rPr>
        <w:t>≥</w:t>
      </w:r>
      <w:r>
        <w:rPr>
          <w:rFonts w:hint="eastAsia" w:ascii="仿宋" w:hAnsi="仿宋" w:eastAsia="仿宋"/>
          <w:sz w:val="32"/>
          <w:szCs w:val="32"/>
          <w:lang w:val="en-US" w:eastAsia="zh-CN"/>
        </w:rPr>
        <w:t>95%。</w:t>
      </w:r>
    </w:p>
    <w:p w14:paraId="44178227">
      <w:pPr>
        <w:numPr>
          <w:ilvl w:val="0"/>
          <w:numId w:val="0"/>
        </w:numPr>
        <w:ind w:leftChars="0"/>
        <w:rPr>
          <w:rFonts w:hint="eastAsia" w:ascii="仿宋" w:hAnsi="仿宋" w:eastAsia="仿宋"/>
          <w:sz w:val="32"/>
          <w:szCs w:val="32"/>
          <w:lang w:val="en-US" w:eastAsia="zh-CN"/>
        </w:rPr>
      </w:pPr>
      <w:r>
        <w:rPr>
          <w:rFonts w:hint="eastAsia" w:ascii="仿宋" w:hAnsi="仿宋" w:eastAsia="仿宋"/>
          <w:sz w:val="32"/>
          <w:szCs w:val="32"/>
          <w:lang w:val="en-US" w:eastAsia="zh-CN"/>
        </w:rPr>
        <w:t>五、评价结论及建议</w:t>
      </w:r>
    </w:p>
    <w:p w14:paraId="562EDC72">
      <w:pPr>
        <w:numPr>
          <w:ilvl w:val="0"/>
          <w:numId w:val="18"/>
        </w:numPr>
        <w:ind w:leftChars="0"/>
        <w:rPr>
          <w:rFonts w:hint="eastAsia" w:ascii="仿宋" w:hAnsi="仿宋" w:eastAsia="仿宋"/>
          <w:sz w:val="32"/>
          <w:szCs w:val="32"/>
          <w:lang w:val="en-US" w:eastAsia="zh-CN"/>
        </w:rPr>
      </w:pPr>
      <w:r>
        <w:rPr>
          <w:rFonts w:hint="eastAsia" w:ascii="仿宋" w:hAnsi="仿宋" w:eastAsia="仿宋"/>
          <w:sz w:val="32"/>
          <w:szCs w:val="32"/>
          <w:lang w:val="en-US" w:eastAsia="zh-CN"/>
        </w:rPr>
        <w:t>评价结论</w:t>
      </w:r>
    </w:p>
    <w:p w14:paraId="19C8A7F7">
      <w:pPr>
        <w:numPr>
          <w:ilvl w:val="0"/>
          <w:numId w:val="0"/>
        </w:numPr>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流浪乞讨人员救助资金项目的实施，保障了流浪乞讨人员群体的基本生存问题，保障了社会的安定团结。</w:t>
      </w:r>
    </w:p>
    <w:p w14:paraId="66DF369D">
      <w:pPr>
        <w:numPr>
          <w:ilvl w:val="0"/>
          <w:numId w:val="0"/>
        </w:numPr>
        <w:rPr>
          <w:rFonts w:hint="eastAsia" w:ascii="仿宋" w:hAnsi="仿宋" w:eastAsia="仿宋"/>
          <w:sz w:val="32"/>
          <w:szCs w:val="32"/>
          <w:lang w:val="en-US" w:eastAsia="zh-CN"/>
        </w:rPr>
      </w:pPr>
      <w:r>
        <w:rPr>
          <w:rFonts w:hint="eastAsia" w:ascii="仿宋" w:hAnsi="仿宋" w:eastAsia="仿宋"/>
          <w:sz w:val="32"/>
          <w:szCs w:val="32"/>
          <w:lang w:val="en-US" w:eastAsia="zh-CN"/>
        </w:rPr>
        <w:t>（二）存在的问题</w:t>
      </w:r>
    </w:p>
    <w:p w14:paraId="54EA41BD">
      <w:pPr>
        <w:numPr>
          <w:ilvl w:val="0"/>
          <w:numId w:val="0"/>
        </w:numPr>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1.“职业乞讨”现象依然存在。职业乞讨问题是一个社会问题，需要引起我们的重视，职业乞讨者很多都是成帮结伙，强讨硬要，这些职业乞丐是把乞讨作为长期的生活方式的流浪乞讨者，终年在城市里借乞讨生财，由于救助会影响他们的乞讨收入，多数不愿意接受救助，更不愿意返回原籍。救助管理站作为一个救助性的临时服务机构，实行自愿救助的原则，没有执法权。</w:t>
      </w:r>
    </w:p>
    <w:p w14:paraId="1B6A1CFD">
      <w:pPr>
        <w:numPr>
          <w:ilvl w:val="0"/>
          <w:numId w:val="0"/>
        </w:numPr>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2.救助对象身份甄别难度大。由于救助人员的多样性，在实际操作过程中，因多种原因求助人员无法提供完整的身份信息，有些没有身份证，有些连自己的名字都不知道，更不知道家庭住址，加上求助人员以口述为依据，救助对象流出地遍布全国各地，导致甄别核对工作量大。</w:t>
      </w:r>
    </w:p>
    <w:p w14:paraId="0F359834">
      <w:pPr>
        <w:numPr>
          <w:ilvl w:val="0"/>
          <w:numId w:val="0"/>
        </w:numPr>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3.跑站、骗助形势严峻。由于救助站可以为求助人员提供返乡车票，一些人利用政策上的漏洞，往返于各个救助站之间骗助、骗票倒票，为个人牟利，成为生财之道，逐渐形成专业化、团伙化、多地化等特点。</w:t>
      </w:r>
    </w:p>
    <w:p w14:paraId="74048D7E">
      <w:pPr>
        <w:numPr>
          <w:ilvl w:val="0"/>
          <w:numId w:val="0"/>
        </w:numPr>
        <w:rPr>
          <w:rFonts w:hint="eastAsia" w:ascii="仿宋" w:hAnsi="仿宋" w:eastAsia="仿宋"/>
          <w:sz w:val="32"/>
          <w:szCs w:val="32"/>
          <w:lang w:val="en-US" w:eastAsia="zh-CN"/>
        </w:rPr>
      </w:pPr>
      <w:r>
        <w:rPr>
          <w:rFonts w:hint="eastAsia" w:ascii="仿宋" w:hAnsi="仿宋" w:eastAsia="仿宋"/>
          <w:sz w:val="32"/>
          <w:szCs w:val="32"/>
          <w:lang w:val="en-US" w:eastAsia="zh-CN"/>
        </w:rPr>
        <w:t>（三）相关建议</w:t>
      </w:r>
    </w:p>
    <w:p w14:paraId="4B9B79F9">
      <w:pPr>
        <w:numPr>
          <w:ilvl w:val="0"/>
          <w:numId w:val="0"/>
        </w:numPr>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1.全方位加强救助工作宣传报道力度。救助站要主动发制救助信息，尽量大可能帮助受助人员返回家庭。完善舆情应急预案，学会主动沟通、积极宣传。</w:t>
      </w:r>
    </w:p>
    <w:p w14:paraId="0F16F0F1">
      <w:pPr>
        <w:numPr>
          <w:ilvl w:val="0"/>
          <w:numId w:val="0"/>
        </w:numPr>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2.加强救助人员的身份查询及录亲工作。一是建立身份查询机制。通过受助人员指纹、体貌特征等线索，及时查询比对全国救助管理信息系统中的寻亲信息。对疑似走失、被遗弃、被拐卖的流浪乞讨人员，通过询问及走访群众、比对公安机关人中信息管理系统，核查其身份信息。二是建产寻亲服务机制。对于经快速查询未能确认身份的受助人员，我站将在其入站后24小时内通过传媒等形式发布寻亲公告，并在其入站后7个工作日内报请公安机关采集DNA数据。三是建立身份查询长效机制。对于滞留人员，继续开展手托养机构协助查询工作。</w:t>
      </w:r>
    </w:p>
    <w:p w14:paraId="5A1186E2">
      <w:pPr>
        <w:numPr>
          <w:ilvl w:val="0"/>
          <w:numId w:val="0"/>
        </w:numPr>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3.严惩一些人利用政策上的漏洞，住返于各个救助站之间，骗助、骗票倒卖，牟利行为，保障我站救助工作有效的开展。</w:t>
      </w:r>
    </w:p>
    <w:p w14:paraId="3A79045B">
      <w:pPr>
        <w:numPr>
          <w:ilvl w:val="0"/>
          <w:numId w:val="0"/>
        </w:numPr>
        <w:ind w:firstLine="640"/>
        <w:rPr>
          <w:rFonts w:hint="eastAsia" w:ascii="仿宋" w:hAnsi="仿宋" w:eastAsia="仿宋"/>
          <w:sz w:val="32"/>
          <w:szCs w:val="32"/>
          <w:lang w:val="en-US" w:eastAsia="zh-CN"/>
        </w:rPr>
      </w:pPr>
    </w:p>
    <w:p w14:paraId="5CFA76CC">
      <w:pPr>
        <w:numPr>
          <w:ilvl w:val="0"/>
          <w:numId w:val="0"/>
        </w:numPr>
        <w:ind w:firstLine="640"/>
        <w:rPr>
          <w:rFonts w:hint="eastAsia" w:ascii="仿宋" w:hAnsi="仿宋" w:eastAsia="仿宋"/>
          <w:sz w:val="32"/>
          <w:szCs w:val="32"/>
          <w:lang w:val="en-US" w:eastAsia="zh-CN"/>
        </w:rPr>
      </w:pPr>
    </w:p>
    <w:p w14:paraId="7F189EFC">
      <w:pPr>
        <w:jc w:val="center"/>
        <w:rPr>
          <w:rFonts w:hint="eastAsia" w:ascii="仿宋" w:hAnsi="仿宋" w:eastAsia="仿宋"/>
          <w:b/>
          <w:sz w:val="36"/>
          <w:szCs w:val="36"/>
        </w:rPr>
      </w:pPr>
    </w:p>
    <w:p w14:paraId="6994BB71">
      <w:pPr>
        <w:jc w:val="center"/>
        <w:rPr>
          <w:rFonts w:hint="eastAsia" w:ascii="仿宋" w:hAnsi="仿宋" w:eastAsia="仿宋"/>
          <w:b/>
          <w:sz w:val="36"/>
          <w:szCs w:val="36"/>
        </w:rPr>
      </w:pPr>
      <w:r>
        <w:rPr>
          <w:rFonts w:hint="eastAsia" w:ascii="仿宋" w:hAnsi="仿宋" w:eastAsia="仿宋"/>
          <w:b/>
          <w:sz w:val="36"/>
          <w:szCs w:val="36"/>
        </w:rPr>
        <w:t>岳池县社会救助福利中心</w:t>
      </w:r>
      <w:r>
        <w:rPr>
          <w:rFonts w:ascii="仿宋" w:hAnsi="仿宋" w:eastAsia="仿宋"/>
          <w:b/>
          <w:sz w:val="36"/>
          <w:szCs w:val="36"/>
        </w:rPr>
        <w:t>202</w:t>
      </w:r>
      <w:r>
        <w:rPr>
          <w:rFonts w:hint="eastAsia" w:ascii="仿宋" w:hAnsi="仿宋" w:eastAsia="仿宋"/>
          <w:b/>
          <w:sz w:val="36"/>
          <w:szCs w:val="36"/>
          <w:lang w:val="en-US" w:eastAsia="zh-CN"/>
        </w:rPr>
        <w:t>2</w:t>
      </w:r>
      <w:r>
        <w:rPr>
          <w:rFonts w:ascii="仿宋" w:hAnsi="仿宋" w:eastAsia="仿宋"/>
          <w:b/>
          <w:sz w:val="36"/>
          <w:szCs w:val="36"/>
        </w:rPr>
        <w:t>年</w:t>
      </w:r>
    </w:p>
    <w:p w14:paraId="436D6259">
      <w:pPr>
        <w:jc w:val="center"/>
        <w:rPr>
          <w:rFonts w:hint="eastAsia" w:ascii="仿宋" w:hAnsi="仿宋" w:eastAsia="仿宋"/>
          <w:b/>
          <w:sz w:val="36"/>
          <w:szCs w:val="36"/>
        </w:rPr>
      </w:pPr>
      <w:r>
        <w:rPr>
          <w:rFonts w:hint="eastAsia" w:ascii="仿宋" w:hAnsi="仿宋" w:eastAsia="仿宋"/>
          <w:b/>
          <w:sz w:val="36"/>
          <w:szCs w:val="36"/>
          <w:lang w:eastAsia="zh-CN"/>
        </w:rPr>
        <w:t>弃婴生活费</w:t>
      </w:r>
      <w:r>
        <w:rPr>
          <w:rFonts w:hint="eastAsia" w:ascii="仿宋" w:hAnsi="仿宋" w:eastAsia="仿宋"/>
          <w:b/>
          <w:sz w:val="36"/>
          <w:szCs w:val="36"/>
        </w:rPr>
        <w:t>项目支出绩效自评报告</w:t>
      </w:r>
    </w:p>
    <w:p w14:paraId="4F2E9D10">
      <w:pPr>
        <w:jc w:val="center"/>
        <w:rPr>
          <w:rFonts w:hint="eastAsia" w:ascii="仿宋" w:hAnsi="仿宋" w:eastAsia="仿宋"/>
          <w:b/>
          <w:sz w:val="36"/>
          <w:szCs w:val="36"/>
        </w:rPr>
      </w:pPr>
    </w:p>
    <w:p w14:paraId="752574F7">
      <w:pPr>
        <w:ind w:firstLine="640" w:firstLineChars="200"/>
        <w:rPr>
          <w:rFonts w:hint="eastAsia" w:ascii="仿宋" w:hAnsi="仿宋" w:eastAsia="仿宋"/>
          <w:sz w:val="32"/>
          <w:szCs w:val="32"/>
        </w:rPr>
      </w:pPr>
      <w:r>
        <w:rPr>
          <w:rFonts w:hint="eastAsia" w:ascii="仿宋" w:hAnsi="仿宋" w:eastAsia="仿宋"/>
          <w:sz w:val="32"/>
          <w:szCs w:val="32"/>
        </w:rPr>
        <w:t>为进一步管理和使用好财政资金，提高流浪乞讨人员救助补助资金使用效益和项目管理水平，根据《财政部关于印发&lt;财政支出绩效评价管理暂行办法&gt;的通知》，我中心专门成立了绩效评价工作小姐，对202</w:t>
      </w:r>
      <w:r>
        <w:rPr>
          <w:rFonts w:hint="eastAsia" w:ascii="仿宋" w:hAnsi="仿宋" w:eastAsia="仿宋"/>
          <w:sz w:val="32"/>
          <w:szCs w:val="32"/>
          <w:lang w:val="en-US" w:eastAsia="zh-CN"/>
        </w:rPr>
        <w:t>2</w:t>
      </w:r>
      <w:r>
        <w:rPr>
          <w:rFonts w:hint="eastAsia" w:ascii="仿宋" w:hAnsi="仿宋" w:eastAsia="仿宋"/>
          <w:sz w:val="32"/>
          <w:szCs w:val="32"/>
        </w:rPr>
        <w:t>年度</w:t>
      </w:r>
      <w:r>
        <w:rPr>
          <w:rFonts w:hint="eastAsia" w:ascii="仿宋" w:hAnsi="仿宋" w:eastAsia="仿宋"/>
          <w:sz w:val="32"/>
          <w:szCs w:val="32"/>
          <w:lang w:eastAsia="zh-CN"/>
        </w:rPr>
        <w:t>弃婴生活费</w:t>
      </w:r>
      <w:r>
        <w:rPr>
          <w:rFonts w:hint="eastAsia" w:ascii="仿宋" w:hAnsi="仿宋" w:eastAsia="仿宋"/>
          <w:sz w:val="32"/>
          <w:szCs w:val="32"/>
        </w:rPr>
        <w:t>资金使用与管理开展了绩效评价，绩效评价自评报告如下：</w:t>
      </w:r>
    </w:p>
    <w:p w14:paraId="63E305AB">
      <w:pPr>
        <w:pStyle w:val="15"/>
        <w:numPr>
          <w:ilvl w:val="0"/>
          <w:numId w:val="14"/>
        </w:numPr>
        <w:ind w:firstLineChars="0"/>
        <w:rPr>
          <w:rFonts w:hint="eastAsia" w:ascii="仿宋" w:hAnsi="仿宋" w:eastAsia="仿宋"/>
          <w:sz w:val="32"/>
          <w:szCs w:val="32"/>
        </w:rPr>
      </w:pPr>
      <w:r>
        <w:rPr>
          <w:rFonts w:hint="eastAsia" w:ascii="仿宋" w:hAnsi="仿宋" w:eastAsia="仿宋"/>
          <w:sz w:val="32"/>
          <w:szCs w:val="32"/>
        </w:rPr>
        <w:t>项目概况</w:t>
      </w:r>
    </w:p>
    <w:p w14:paraId="308B6084">
      <w:pPr>
        <w:pStyle w:val="15"/>
        <w:numPr>
          <w:ilvl w:val="0"/>
          <w:numId w:val="0"/>
        </w:numPr>
        <w:ind w:leftChars="0"/>
        <w:rPr>
          <w:rFonts w:hint="eastAsia" w:ascii="仿宋" w:hAnsi="仿宋" w:eastAsia="仿宋"/>
          <w:sz w:val="32"/>
          <w:szCs w:val="32"/>
          <w:lang w:eastAsia="zh-CN"/>
        </w:rPr>
      </w:pPr>
      <w:r>
        <w:rPr>
          <w:rFonts w:hint="eastAsia" w:ascii="仿宋" w:hAnsi="仿宋" w:eastAsia="仿宋"/>
          <w:sz w:val="32"/>
          <w:szCs w:val="32"/>
          <w:lang w:eastAsia="zh-CN"/>
        </w:rPr>
        <w:t>（一）项目基本情况</w:t>
      </w:r>
    </w:p>
    <w:p w14:paraId="7C46BE16">
      <w:pPr>
        <w:ind w:left="720"/>
        <w:rPr>
          <w:rFonts w:hint="eastAsia" w:ascii="仿宋" w:hAnsi="仿宋" w:eastAsia="仿宋"/>
          <w:sz w:val="32"/>
          <w:szCs w:val="32"/>
        </w:rPr>
      </w:pPr>
      <w:r>
        <w:rPr>
          <w:rFonts w:hint="eastAsia" w:ascii="仿宋" w:hAnsi="仿宋" w:eastAsia="仿宋"/>
          <w:sz w:val="32"/>
          <w:szCs w:val="32"/>
        </w:rPr>
        <w:t>救助站对流浪乞讨人员的救助是一项临时性社会救助</w:t>
      </w:r>
    </w:p>
    <w:p w14:paraId="6BB9DC3D">
      <w:pPr>
        <w:rPr>
          <w:rFonts w:hint="eastAsia" w:ascii="仿宋" w:hAnsi="仿宋" w:eastAsia="仿宋"/>
          <w:sz w:val="32"/>
          <w:szCs w:val="32"/>
        </w:rPr>
      </w:pPr>
      <w:r>
        <w:rPr>
          <w:rFonts w:hint="eastAsia" w:ascii="仿宋" w:hAnsi="仿宋" w:eastAsia="仿宋"/>
          <w:sz w:val="32"/>
          <w:szCs w:val="32"/>
        </w:rPr>
        <w:t>措施。根据《中央财政流浪乞讨人员救助补助资金管理办法》（财社【2014】71号）的要求，救助站对202</w:t>
      </w:r>
      <w:r>
        <w:rPr>
          <w:rFonts w:hint="eastAsia" w:ascii="仿宋" w:hAnsi="仿宋" w:eastAsia="仿宋"/>
          <w:sz w:val="32"/>
          <w:szCs w:val="32"/>
          <w:lang w:val="en-US" w:eastAsia="zh-CN"/>
        </w:rPr>
        <w:t>2</w:t>
      </w:r>
      <w:r>
        <w:rPr>
          <w:rFonts w:hint="eastAsia" w:ascii="仿宋" w:hAnsi="仿宋" w:eastAsia="仿宋"/>
          <w:sz w:val="32"/>
          <w:szCs w:val="32"/>
        </w:rPr>
        <w:t>年流浪乞讨人员救助补助专项资金实行专款专用，并将专项资金用于生活无着的流浪乞讨人员主动救助、生活救助、医疗救治、教育矫治、返乡救助、临时安置以及未成年人社会保护等救助保护工作。</w:t>
      </w:r>
    </w:p>
    <w:p w14:paraId="37519DAD">
      <w:pPr>
        <w:ind w:firstLine="645"/>
        <w:rPr>
          <w:rFonts w:hint="eastAsia" w:ascii="仿宋" w:hAnsi="仿宋" w:eastAsia="仿宋"/>
          <w:sz w:val="32"/>
          <w:szCs w:val="32"/>
        </w:rPr>
      </w:pPr>
      <w:r>
        <w:rPr>
          <w:rFonts w:hint="eastAsia" w:ascii="仿宋" w:hAnsi="仿宋" w:eastAsia="仿宋"/>
          <w:sz w:val="32"/>
          <w:szCs w:val="32"/>
        </w:rPr>
        <w:t>做好城市流浪乞讨人员的救助和管理这项工作，是落实科学发展观和构建社会主义和谐社会的必然要求，也是解决流浪乞讨人员基本生存问题的重要举措。对提升城市形象、维护社会稳定、促进社会和谐发展起到了关键性的作用。做好</w:t>
      </w:r>
      <w:r>
        <w:rPr>
          <w:rFonts w:hint="eastAsia" w:ascii="仿宋" w:hAnsi="仿宋" w:eastAsia="仿宋"/>
          <w:sz w:val="32"/>
          <w:szCs w:val="32"/>
          <w:lang w:eastAsia="zh-CN"/>
        </w:rPr>
        <w:t>弃婴</w:t>
      </w:r>
      <w:r>
        <w:rPr>
          <w:rFonts w:hint="eastAsia" w:ascii="仿宋" w:hAnsi="仿宋" w:eastAsia="仿宋"/>
          <w:sz w:val="32"/>
          <w:szCs w:val="32"/>
        </w:rPr>
        <w:t>的生活保障对社会稳定起到了至关重要的作用。</w:t>
      </w:r>
    </w:p>
    <w:p w14:paraId="7516BF37">
      <w:pPr>
        <w:numPr>
          <w:ilvl w:val="0"/>
          <w:numId w:val="0"/>
        </w:numPr>
        <w:ind w:leftChars="0"/>
        <w:rPr>
          <w:rFonts w:hint="eastAsia" w:ascii="仿宋" w:hAnsi="仿宋" w:eastAsia="仿宋"/>
          <w:sz w:val="32"/>
          <w:szCs w:val="32"/>
          <w:lang w:eastAsia="zh-CN"/>
        </w:rPr>
      </w:pPr>
      <w:r>
        <w:rPr>
          <w:rFonts w:hint="eastAsia" w:ascii="仿宋" w:hAnsi="仿宋" w:eastAsia="仿宋"/>
          <w:sz w:val="32"/>
          <w:szCs w:val="32"/>
          <w:lang w:eastAsia="zh-CN"/>
        </w:rPr>
        <w:t>（二）项目绩效目标</w:t>
      </w:r>
    </w:p>
    <w:p w14:paraId="703D8879">
      <w:pPr>
        <w:ind w:firstLine="645"/>
        <w:rPr>
          <w:rFonts w:hint="eastAsia" w:ascii="仿宋" w:hAnsi="仿宋" w:eastAsia="仿宋"/>
          <w:sz w:val="32"/>
          <w:szCs w:val="32"/>
          <w:lang w:eastAsia="zh-CN"/>
        </w:rPr>
      </w:pPr>
      <w:r>
        <w:rPr>
          <w:rFonts w:hint="eastAsia" w:ascii="仿宋" w:hAnsi="仿宋" w:eastAsia="仿宋"/>
          <w:sz w:val="32"/>
          <w:szCs w:val="32"/>
          <w:lang w:eastAsia="zh-CN"/>
        </w:rPr>
        <w:t>弃婴生活费</w:t>
      </w:r>
      <w:r>
        <w:rPr>
          <w:rFonts w:hint="eastAsia" w:ascii="仿宋" w:hAnsi="仿宋" w:eastAsia="仿宋"/>
          <w:sz w:val="32"/>
          <w:szCs w:val="32"/>
        </w:rPr>
        <w:t>项目的主要内容是完成</w:t>
      </w:r>
      <w:r>
        <w:rPr>
          <w:rFonts w:hint="eastAsia" w:ascii="仿宋" w:hAnsi="仿宋" w:eastAsia="仿宋"/>
          <w:sz w:val="32"/>
          <w:szCs w:val="32"/>
          <w:lang w:eastAsia="zh-CN"/>
        </w:rPr>
        <w:t>对送到救助站的弃婴进行抚养。</w:t>
      </w:r>
    </w:p>
    <w:p w14:paraId="703C963C">
      <w:pPr>
        <w:ind w:firstLine="645"/>
        <w:rPr>
          <w:rFonts w:hint="eastAsia" w:ascii="仿宋" w:hAnsi="仿宋" w:eastAsia="仿宋"/>
          <w:sz w:val="32"/>
          <w:szCs w:val="32"/>
        </w:rPr>
      </w:pPr>
      <w:r>
        <w:rPr>
          <w:rFonts w:hint="eastAsia" w:ascii="仿宋" w:hAnsi="仿宋" w:eastAsia="仿宋"/>
          <w:sz w:val="32"/>
          <w:szCs w:val="32"/>
          <w:lang w:eastAsia="zh-CN"/>
        </w:rPr>
        <w:t>弃婴生活费</w:t>
      </w:r>
      <w:r>
        <w:rPr>
          <w:rFonts w:hint="eastAsia" w:ascii="仿宋" w:hAnsi="仿宋" w:eastAsia="仿宋"/>
          <w:sz w:val="32"/>
          <w:szCs w:val="32"/>
        </w:rPr>
        <w:t>资金项目预计全年需要完成对</w:t>
      </w:r>
      <w:r>
        <w:rPr>
          <w:rFonts w:hint="eastAsia" w:ascii="仿宋" w:hAnsi="仿宋" w:eastAsia="仿宋"/>
          <w:sz w:val="32"/>
          <w:szCs w:val="32"/>
          <w:lang w:val="en-US" w:eastAsia="zh-CN"/>
        </w:rPr>
        <w:t>3名弃婴进行救助</w:t>
      </w:r>
      <w:r>
        <w:rPr>
          <w:rFonts w:hint="eastAsia" w:ascii="仿宋" w:hAnsi="仿宋" w:eastAsia="仿宋"/>
          <w:sz w:val="32"/>
          <w:szCs w:val="32"/>
        </w:rPr>
        <w:t>，</w:t>
      </w:r>
      <w:r>
        <w:rPr>
          <w:rFonts w:hint="eastAsia" w:ascii="仿宋" w:hAnsi="仿宋" w:eastAsia="仿宋"/>
          <w:sz w:val="32"/>
          <w:szCs w:val="32"/>
          <w:lang w:eastAsia="zh-CN"/>
        </w:rPr>
        <w:t>弃婴</w:t>
      </w:r>
      <w:r>
        <w:rPr>
          <w:rFonts w:hint="eastAsia" w:ascii="仿宋" w:hAnsi="仿宋" w:eastAsia="仿宋"/>
          <w:sz w:val="32"/>
          <w:szCs w:val="32"/>
        </w:rPr>
        <w:t>人均</w:t>
      </w:r>
      <w:r>
        <w:rPr>
          <w:rFonts w:hint="eastAsia" w:ascii="仿宋" w:hAnsi="仿宋" w:eastAsia="仿宋"/>
          <w:sz w:val="32"/>
          <w:szCs w:val="32"/>
          <w:lang w:eastAsia="zh-CN"/>
        </w:rPr>
        <w:t>生活费用标准</w:t>
      </w:r>
      <w:r>
        <w:rPr>
          <w:rFonts w:hint="eastAsia" w:ascii="仿宋" w:hAnsi="仿宋" w:eastAsia="仿宋"/>
          <w:sz w:val="32"/>
          <w:szCs w:val="32"/>
        </w:rPr>
        <w:t>为</w:t>
      </w:r>
      <w:r>
        <w:rPr>
          <w:rFonts w:hint="eastAsia" w:ascii="仿宋" w:hAnsi="仿宋" w:eastAsia="仿宋"/>
          <w:sz w:val="32"/>
          <w:szCs w:val="32"/>
          <w:lang w:val="en-US" w:eastAsia="zh-CN"/>
        </w:rPr>
        <w:t>2916</w:t>
      </w:r>
      <w:r>
        <w:rPr>
          <w:rFonts w:hint="eastAsia" w:ascii="仿宋" w:hAnsi="仿宋" w:eastAsia="仿宋"/>
          <w:sz w:val="32"/>
          <w:szCs w:val="32"/>
        </w:rPr>
        <w:t>元/人，要达到的效益目标是让每名</w:t>
      </w:r>
      <w:r>
        <w:rPr>
          <w:rFonts w:hint="eastAsia" w:ascii="仿宋" w:hAnsi="仿宋" w:eastAsia="仿宋"/>
          <w:sz w:val="32"/>
          <w:szCs w:val="32"/>
          <w:lang w:eastAsia="zh-CN"/>
        </w:rPr>
        <w:t>送到救助站的弃婴得到及时救助</w:t>
      </w:r>
      <w:r>
        <w:rPr>
          <w:rFonts w:hint="eastAsia" w:ascii="仿宋" w:hAnsi="仿宋" w:eastAsia="仿宋"/>
          <w:sz w:val="32"/>
          <w:szCs w:val="32"/>
        </w:rPr>
        <w:t>，不发生因</w:t>
      </w:r>
      <w:r>
        <w:rPr>
          <w:rFonts w:hint="eastAsia" w:ascii="仿宋" w:hAnsi="仿宋" w:eastAsia="仿宋"/>
          <w:sz w:val="32"/>
          <w:szCs w:val="32"/>
          <w:lang w:eastAsia="zh-CN"/>
        </w:rPr>
        <w:t>弃婴</w:t>
      </w:r>
      <w:r>
        <w:rPr>
          <w:rFonts w:hint="eastAsia" w:ascii="仿宋" w:hAnsi="仿宋" w:eastAsia="仿宋"/>
          <w:sz w:val="32"/>
          <w:szCs w:val="32"/>
        </w:rPr>
        <w:t>没有得到及时救助</w:t>
      </w:r>
      <w:r>
        <w:rPr>
          <w:rFonts w:hint="eastAsia" w:ascii="仿宋" w:hAnsi="仿宋" w:eastAsia="仿宋"/>
          <w:sz w:val="32"/>
          <w:szCs w:val="32"/>
          <w:lang w:eastAsia="zh-CN"/>
        </w:rPr>
        <w:t>无人管理而</w:t>
      </w:r>
      <w:r>
        <w:rPr>
          <w:rFonts w:hint="eastAsia" w:ascii="仿宋" w:hAnsi="仿宋" w:eastAsia="仿宋"/>
          <w:sz w:val="32"/>
          <w:szCs w:val="32"/>
        </w:rPr>
        <w:t>发生的重大事情。</w:t>
      </w:r>
      <w:r>
        <w:rPr>
          <w:rFonts w:hint="eastAsia" w:ascii="仿宋" w:hAnsi="仿宋" w:eastAsia="仿宋"/>
          <w:sz w:val="32"/>
          <w:szCs w:val="32"/>
          <w:lang w:eastAsia="zh-CN"/>
        </w:rPr>
        <w:t>弃婴生活费</w:t>
      </w:r>
      <w:r>
        <w:rPr>
          <w:rFonts w:hint="eastAsia" w:ascii="仿宋" w:hAnsi="仿宋" w:eastAsia="仿宋"/>
          <w:sz w:val="32"/>
          <w:szCs w:val="32"/>
        </w:rPr>
        <w:t>资金项目满意度达到95%以上。</w:t>
      </w:r>
    </w:p>
    <w:p w14:paraId="6E179FEF">
      <w:pPr>
        <w:numPr>
          <w:ilvl w:val="0"/>
          <w:numId w:val="0"/>
        </w:numPr>
        <w:ind w:leftChars="0"/>
        <w:rPr>
          <w:rFonts w:hint="eastAsia" w:ascii="仿宋" w:hAnsi="仿宋" w:eastAsia="仿宋"/>
          <w:sz w:val="32"/>
          <w:szCs w:val="32"/>
          <w:lang w:eastAsia="zh-CN"/>
        </w:rPr>
      </w:pPr>
      <w:r>
        <w:rPr>
          <w:rFonts w:hint="eastAsia" w:ascii="仿宋" w:hAnsi="仿宋" w:eastAsia="仿宋"/>
          <w:sz w:val="32"/>
          <w:szCs w:val="32"/>
          <w:lang w:eastAsia="zh-CN"/>
        </w:rPr>
        <w:t>（三）项目自评步骤及方法</w:t>
      </w:r>
    </w:p>
    <w:p w14:paraId="40CF5641">
      <w:pPr>
        <w:numPr>
          <w:ilvl w:val="0"/>
          <w:numId w:val="0"/>
        </w:numPr>
        <w:ind w:leftChars="0" w:firstLine="640"/>
        <w:rPr>
          <w:rFonts w:hint="eastAsia" w:ascii="仿宋" w:hAnsi="仿宋" w:eastAsia="仿宋"/>
          <w:sz w:val="32"/>
          <w:szCs w:val="32"/>
          <w:lang w:val="en-US" w:eastAsia="zh-CN"/>
        </w:rPr>
      </w:pPr>
      <w:r>
        <w:rPr>
          <w:rFonts w:hint="eastAsia" w:ascii="仿宋" w:hAnsi="仿宋" w:eastAsia="仿宋"/>
          <w:sz w:val="32"/>
          <w:szCs w:val="32"/>
          <w:lang w:val="en-US" w:eastAsia="zh-CN"/>
        </w:rPr>
        <w:t>弃婴生活费项目绩效自评以单位自评为主、上级部门抽评为辅的方式。</w:t>
      </w:r>
    </w:p>
    <w:p w14:paraId="42ACDC98">
      <w:pPr>
        <w:numPr>
          <w:ilvl w:val="0"/>
          <w:numId w:val="0"/>
        </w:numPr>
        <w:rPr>
          <w:rFonts w:hint="default" w:ascii="仿宋" w:hAnsi="仿宋" w:eastAsia="仿宋"/>
          <w:sz w:val="32"/>
          <w:szCs w:val="32"/>
          <w:lang w:val="en-US" w:eastAsia="zh-CN"/>
        </w:rPr>
      </w:pPr>
      <w:r>
        <w:rPr>
          <w:rFonts w:hint="eastAsia" w:ascii="仿宋" w:hAnsi="仿宋" w:eastAsia="仿宋"/>
          <w:sz w:val="32"/>
          <w:szCs w:val="32"/>
          <w:lang w:val="en-US" w:eastAsia="zh-CN"/>
        </w:rPr>
        <w:t>二、项目资金申报及使用情况</w:t>
      </w:r>
    </w:p>
    <w:p w14:paraId="261DD527">
      <w:pPr>
        <w:pStyle w:val="15"/>
        <w:numPr>
          <w:ilvl w:val="0"/>
          <w:numId w:val="0"/>
        </w:numPr>
        <w:ind w:leftChars="0"/>
        <w:rPr>
          <w:rFonts w:hint="eastAsia"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项目资金申报及批复情况</w:t>
      </w:r>
    </w:p>
    <w:p w14:paraId="00D2815D">
      <w:pPr>
        <w:ind w:firstLine="645"/>
        <w:rPr>
          <w:rFonts w:hint="eastAsia" w:ascii="仿宋" w:hAnsi="仿宋" w:eastAsia="仿宋"/>
          <w:sz w:val="32"/>
          <w:szCs w:val="32"/>
        </w:rPr>
      </w:pPr>
      <w:r>
        <w:rPr>
          <w:rFonts w:hint="eastAsia" w:ascii="仿宋" w:hAnsi="仿宋" w:eastAsia="仿宋"/>
          <w:sz w:val="32"/>
          <w:szCs w:val="32"/>
          <w:lang w:eastAsia="zh-CN"/>
        </w:rPr>
        <w:t>弃婴生活费</w:t>
      </w:r>
      <w:r>
        <w:rPr>
          <w:rFonts w:hint="eastAsia" w:ascii="仿宋" w:hAnsi="仿宋" w:eastAsia="仿宋"/>
          <w:sz w:val="32"/>
          <w:szCs w:val="32"/>
        </w:rPr>
        <w:t>项目按照国家的相关法律法规、国民经济发展规划和党委政府决定，并结合我县实际，量化救助标准，分类实施救助，全力做好辖区内</w:t>
      </w:r>
      <w:r>
        <w:rPr>
          <w:rFonts w:hint="eastAsia" w:ascii="仿宋" w:hAnsi="仿宋" w:eastAsia="仿宋"/>
          <w:sz w:val="32"/>
          <w:szCs w:val="32"/>
          <w:lang w:eastAsia="zh-CN"/>
        </w:rPr>
        <w:t>对送到救助站的弃婴进行抚养</w:t>
      </w:r>
      <w:r>
        <w:rPr>
          <w:rFonts w:hint="eastAsia" w:ascii="仿宋" w:hAnsi="仿宋" w:eastAsia="仿宋"/>
          <w:sz w:val="32"/>
          <w:szCs w:val="32"/>
        </w:rPr>
        <w:t>工作。</w:t>
      </w:r>
    </w:p>
    <w:p w14:paraId="5F94AA20">
      <w:pPr>
        <w:ind w:firstLine="645"/>
        <w:rPr>
          <w:rFonts w:hint="eastAsia" w:ascii="仿宋" w:hAnsi="仿宋" w:eastAsia="仿宋"/>
          <w:sz w:val="32"/>
          <w:szCs w:val="32"/>
        </w:rPr>
      </w:pPr>
      <w:r>
        <w:rPr>
          <w:rFonts w:hint="eastAsia" w:ascii="仿宋" w:hAnsi="仿宋" w:eastAsia="仿宋"/>
          <w:sz w:val="32"/>
          <w:szCs w:val="32"/>
        </w:rPr>
        <w:t>经县人大会议审议通过，</w:t>
      </w:r>
      <w:r>
        <w:rPr>
          <w:rFonts w:hint="eastAsia" w:ascii="仿宋" w:hAnsi="仿宋" w:eastAsia="仿宋"/>
          <w:sz w:val="32"/>
          <w:szCs w:val="32"/>
          <w:lang w:eastAsia="zh-CN"/>
        </w:rPr>
        <w:t>弃婴生活费</w:t>
      </w:r>
      <w:r>
        <w:rPr>
          <w:rFonts w:hint="eastAsia" w:ascii="仿宋" w:hAnsi="仿宋" w:eastAsia="仿宋"/>
          <w:sz w:val="32"/>
          <w:szCs w:val="32"/>
        </w:rPr>
        <w:t>资金项目纳入年度预算管理。</w:t>
      </w:r>
    </w:p>
    <w:p w14:paraId="5FD12FB4">
      <w:pPr>
        <w:numPr>
          <w:ilvl w:val="0"/>
          <w:numId w:val="0"/>
        </w:numPr>
        <w:ind w:leftChars="0"/>
        <w:rPr>
          <w:rFonts w:hint="eastAsia" w:ascii="仿宋" w:hAnsi="仿宋" w:eastAsia="仿宋"/>
          <w:sz w:val="32"/>
          <w:szCs w:val="32"/>
          <w:lang w:eastAsia="zh-CN"/>
        </w:rPr>
      </w:pPr>
      <w:r>
        <w:rPr>
          <w:rFonts w:hint="eastAsia" w:ascii="仿宋" w:hAnsi="仿宋" w:eastAsia="仿宋"/>
          <w:sz w:val="32"/>
          <w:szCs w:val="32"/>
          <w:lang w:eastAsia="zh-CN"/>
        </w:rPr>
        <w:t>（二）资金计划、到位及使用情况</w:t>
      </w:r>
    </w:p>
    <w:p w14:paraId="2AD8B897">
      <w:pPr>
        <w:numPr>
          <w:ilvl w:val="0"/>
          <w:numId w:val="0"/>
        </w:numPr>
        <w:ind w:left="640" w:leftChars="0"/>
        <w:rPr>
          <w:rFonts w:hint="eastAsia" w:ascii="仿宋" w:hAnsi="仿宋" w:eastAsia="仿宋"/>
          <w:sz w:val="32"/>
          <w:szCs w:val="32"/>
          <w:lang w:val="en-US" w:eastAsia="zh-CN"/>
        </w:rPr>
      </w:pPr>
      <w:r>
        <w:rPr>
          <w:rFonts w:hint="eastAsia" w:ascii="仿宋" w:hAnsi="仿宋" w:eastAsia="仿宋"/>
          <w:sz w:val="32"/>
          <w:szCs w:val="32"/>
          <w:lang w:val="en-US" w:eastAsia="zh-CN"/>
        </w:rPr>
        <w:t>1.资金计划</w:t>
      </w:r>
    </w:p>
    <w:p w14:paraId="6BC6BE13">
      <w:pPr>
        <w:ind w:firstLine="645"/>
        <w:rPr>
          <w:rFonts w:hint="eastAsia" w:ascii="仿宋" w:hAnsi="仿宋" w:eastAsia="仿宋"/>
          <w:sz w:val="32"/>
          <w:szCs w:val="32"/>
        </w:rPr>
      </w:pPr>
      <w:r>
        <w:rPr>
          <w:rFonts w:hint="eastAsia" w:ascii="仿宋" w:hAnsi="仿宋" w:eastAsia="仿宋"/>
          <w:sz w:val="32"/>
          <w:szCs w:val="32"/>
        </w:rPr>
        <w:t>按照《四川省流浪乞讨人员救助补助资金管理办法》的规定，将</w:t>
      </w:r>
      <w:r>
        <w:rPr>
          <w:rFonts w:hint="eastAsia" w:ascii="仿宋" w:hAnsi="仿宋" w:eastAsia="仿宋"/>
          <w:sz w:val="32"/>
          <w:szCs w:val="32"/>
          <w:lang w:eastAsia="zh-CN"/>
        </w:rPr>
        <w:t>弃婴生活费</w:t>
      </w:r>
      <w:r>
        <w:rPr>
          <w:rFonts w:hint="eastAsia" w:ascii="仿宋" w:hAnsi="仿宋" w:eastAsia="仿宋"/>
          <w:sz w:val="32"/>
          <w:szCs w:val="32"/>
        </w:rPr>
        <w:t>资金纳入年度预算。</w:t>
      </w:r>
    </w:p>
    <w:p w14:paraId="5099F93D">
      <w:pPr>
        <w:numPr>
          <w:ilvl w:val="0"/>
          <w:numId w:val="0"/>
        </w:numPr>
        <w:ind w:leftChars="0"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2.资金到位</w:t>
      </w:r>
    </w:p>
    <w:p w14:paraId="32395CA5">
      <w:pPr>
        <w:ind w:firstLine="645"/>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sz w:val="32"/>
          <w:szCs w:val="32"/>
          <w:lang w:eastAsia="zh-CN"/>
        </w:rPr>
        <w:t>弃婴生活费</w:t>
      </w:r>
      <w:r>
        <w:rPr>
          <w:rFonts w:hint="eastAsia" w:ascii="仿宋" w:hAnsi="仿宋" w:eastAsia="仿宋"/>
          <w:sz w:val="32"/>
          <w:szCs w:val="32"/>
        </w:rPr>
        <w:t>资金项目预算金额为</w:t>
      </w:r>
      <w:r>
        <w:rPr>
          <w:rFonts w:hint="eastAsia" w:ascii="仿宋" w:hAnsi="仿宋" w:eastAsia="仿宋"/>
          <w:sz w:val="32"/>
          <w:szCs w:val="32"/>
          <w:lang w:val="en-US" w:eastAsia="zh-CN"/>
        </w:rPr>
        <w:t>0.87</w:t>
      </w:r>
      <w:r>
        <w:rPr>
          <w:rFonts w:hint="eastAsia" w:ascii="仿宋" w:hAnsi="仿宋" w:eastAsia="仿宋"/>
          <w:sz w:val="32"/>
          <w:szCs w:val="32"/>
        </w:rPr>
        <w:t>万元，已全部拨付到位，资金到位率为100%。</w:t>
      </w:r>
    </w:p>
    <w:p w14:paraId="351071B7">
      <w:pPr>
        <w:numPr>
          <w:ilvl w:val="0"/>
          <w:numId w:val="0"/>
        </w:numPr>
        <w:ind w:leftChars="0"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3.资金使用</w:t>
      </w:r>
    </w:p>
    <w:p w14:paraId="3BB4792D">
      <w:pPr>
        <w:ind w:firstLine="645"/>
        <w:rPr>
          <w:rFonts w:hint="eastAsia" w:ascii="仿宋" w:hAnsi="仿宋" w:eastAsia="仿宋"/>
          <w:sz w:val="32"/>
          <w:szCs w:val="32"/>
        </w:rPr>
      </w:pPr>
      <w:r>
        <w:rPr>
          <w:rFonts w:hint="eastAsia" w:ascii="仿宋" w:hAnsi="仿宋" w:eastAsia="仿宋"/>
          <w:sz w:val="32"/>
          <w:szCs w:val="32"/>
          <w:lang w:eastAsia="zh-CN"/>
        </w:rPr>
        <w:t>截至</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年12月30日，</w:t>
      </w:r>
      <w:r>
        <w:rPr>
          <w:rFonts w:hint="eastAsia" w:ascii="仿宋" w:hAnsi="仿宋" w:eastAsia="仿宋"/>
          <w:sz w:val="32"/>
          <w:szCs w:val="32"/>
          <w:lang w:eastAsia="zh-CN"/>
        </w:rPr>
        <w:t>弃婴生活费</w:t>
      </w:r>
      <w:r>
        <w:rPr>
          <w:rFonts w:hint="eastAsia" w:ascii="仿宋" w:hAnsi="仿宋" w:eastAsia="仿宋"/>
          <w:sz w:val="32"/>
          <w:szCs w:val="32"/>
        </w:rPr>
        <w:t>资金实际支出为</w:t>
      </w:r>
      <w:r>
        <w:rPr>
          <w:rFonts w:hint="eastAsia" w:ascii="仿宋" w:hAnsi="仿宋" w:eastAsia="仿宋"/>
          <w:sz w:val="32"/>
          <w:szCs w:val="32"/>
          <w:lang w:val="en-US" w:eastAsia="zh-CN"/>
        </w:rPr>
        <w:t>0.87</w:t>
      </w:r>
      <w:r>
        <w:rPr>
          <w:rFonts w:hint="eastAsia" w:ascii="仿宋" w:hAnsi="仿宋" w:eastAsia="仿宋"/>
          <w:sz w:val="32"/>
          <w:szCs w:val="32"/>
        </w:rPr>
        <w:t>万元，主要用于对</w:t>
      </w:r>
      <w:r>
        <w:rPr>
          <w:rFonts w:hint="eastAsia" w:ascii="仿宋" w:hAnsi="仿宋" w:eastAsia="仿宋"/>
          <w:sz w:val="32"/>
          <w:szCs w:val="32"/>
          <w:lang w:eastAsia="zh-CN"/>
        </w:rPr>
        <w:t>弃婴</w:t>
      </w:r>
      <w:r>
        <w:rPr>
          <w:rFonts w:hint="eastAsia" w:ascii="仿宋" w:hAnsi="仿宋" w:eastAsia="仿宋"/>
          <w:sz w:val="32"/>
          <w:szCs w:val="32"/>
        </w:rPr>
        <w:t>进行生活救助</w:t>
      </w:r>
      <w:r>
        <w:rPr>
          <w:rFonts w:hint="eastAsia" w:ascii="仿宋" w:hAnsi="仿宋" w:eastAsia="仿宋"/>
          <w:sz w:val="32"/>
          <w:szCs w:val="32"/>
          <w:lang w:eastAsia="zh-CN"/>
        </w:rPr>
        <w:t>，</w:t>
      </w:r>
      <w:r>
        <w:rPr>
          <w:rFonts w:hint="eastAsia" w:ascii="仿宋" w:hAnsi="仿宋" w:eastAsia="仿宋"/>
          <w:sz w:val="32"/>
          <w:szCs w:val="32"/>
        </w:rPr>
        <w:t>支付依据按照救助补助资金使用办法合规合法的进行使用。资金支付与预算相符。</w:t>
      </w:r>
    </w:p>
    <w:p w14:paraId="7586B989">
      <w:pPr>
        <w:pStyle w:val="15"/>
        <w:numPr>
          <w:ilvl w:val="0"/>
          <w:numId w:val="0"/>
        </w:numPr>
        <w:ind w:leftChars="0"/>
        <w:rPr>
          <w:rFonts w:hint="eastAsia"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rPr>
        <w:t>项目财务管理情况</w:t>
      </w:r>
    </w:p>
    <w:p w14:paraId="3A71EB03">
      <w:pPr>
        <w:ind w:firstLine="645"/>
        <w:rPr>
          <w:rFonts w:hint="eastAsia" w:ascii="仿宋" w:hAnsi="仿宋" w:eastAsia="仿宋"/>
          <w:sz w:val="32"/>
          <w:szCs w:val="32"/>
        </w:rPr>
      </w:pPr>
      <w:r>
        <w:rPr>
          <w:rFonts w:hint="eastAsia" w:ascii="仿宋" w:hAnsi="仿宋" w:eastAsia="仿宋"/>
          <w:sz w:val="32"/>
          <w:szCs w:val="32"/>
        </w:rPr>
        <w:t>根据省上对流浪乞讨人员救助资金有关规定的要求，</w:t>
      </w:r>
      <w:r>
        <w:rPr>
          <w:rFonts w:hint="eastAsia" w:ascii="仿宋" w:hAnsi="仿宋" w:eastAsia="仿宋"/>
          <w:sz w:val="32"/>
          <w:szCs w:val="32"/>
          <w:lang w:eastAsia="zh-CN"/>
        </w:rPr>
        <w:t>弃婴生活费</w:t>
      </w:r>
      <w:r>
        <w:rPr>
          <w:rFonts w:hint="eastAsia" w:ascii="仿宋" w:hAnsi="仿宋" w:eastAsia="仿宋"/>
          <w:sz w:val="32"/>
          <w:szCs w:val="32"/>
        </w:rPr>
        <w:t>资金项目的使用符合相关财务会计制度，资金的拨付有完整的审批程序和手续，实行专账管理，并按照具体救助的支出项目单独记账，资金不存在挤占、挪用、套取等情况。建立健全流浪乞讨人员救助资金监管机制，定期对补助资金使用情况进行检查，对检查发现的问题及时进行了整改。</w:t>
      </w:r>
    </w:p>
    <w:p w14:paraId="415EF965">
      <w:pPr>
        <w:rPr>
          <w:rFonts w:hint="eastAsia" w:ascii="仿宋" w:hAnsi="仿宋" w:eastAsia="仿宋"/>
          <w:sz w:val="32"/>
          <w:szCs w:val="32"/>
          <w:lang w:eastAsia="zh-CN"/>
        </w:rPr>
      </w:pPr>
      <w:r>
        <w:rPr>
          <w:rFonts w:hint="eastAsia" w:ascii="仿宋" w:hAnsi="仿宋" w:eastAsia="仿宋"/>
          <w:sz w:val="32"/>
          <w:szCs w:val="32"/>
          <w:lang w:eastAsia="zh-CN"/>
        </w:rPr>
        <w:t>三、项目实施及管理情况</w:t>
      </w:r>
    </w:p>
    <w:p w14:paraId="788EDD21">
      <w:pPr>
        <w:pStyle w:val="15"/>
        <w:numPr>
          <w:ilvl w:val="0"/>
          <w:numId w:val="0"/>
        </w:numPr>
        <w:ind w:leftChars="0"/>
        <w:rPr>
          <w:rFonts w:hint="eastAsia"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项目组织</w:t>
      </w:r>
      <w:r>
        <w:rPr>
          <w:rFonts w:hint="eastAsia" w:ascii="仿宋" w:hAnsi="仿宋" w:eastAsia="仿宋"/>
          <w:sz w:val="32"/>
          <w:szCs w:val="32"/>
          <w:lang w:eastAsia="zh-CN"/>
        </w:rPr>
        <w:t>架构及实施流程</w:t>
      </w:r>
    </w:p>
    <w:p w14:paraId="5151B54D">
      <w:pPr>
        <w:ind w:firstLine="640"/>
        <w:rPr>
          <w:rFonts w:hint="eastAsia" w:ascii="仿宋" w:hAnsi="仿宋" w:eastAsia="仿宋"/>
          <w:sz w:val="32"/>
          <w:szCs w:val="32"/>
          <w:lang w:eastAsia="zh-CN"/>
        </w:rPr>
      </w:pPr>
      <w:r>
        <w:rPr>
          <w:rFonts w:hint="eastAsia" w:ascii="仿宋" w:hAnsi="仿宋" w:eastAsia="仿宋"/>
          <w:sz w:val="32"/>
          <w:szCs w:val="32"/>
        </w:rPr>
        <w:t>按照省民政厅、财政厅制定的要求，结合实际，细化措施。</w:t>
      </w:r>
      <w:r>
        <w:rPr>
          <w:rFonts w:hint="eastAsia" w:ascii="仿宋" w:hAnsi="仿宋" w:eastAsia="仿宋"/>
          <w:sz w:val="32"/>
          <w:szCs w:val="32"/>
          <w:lang w:eastAsia="zh-CN"/>
        </w:rPr>
        <w:t>根据省上要求制定了流浪乞讨人员救助标准，弃婴生活费标准参照当地的生活标准执行，确保弃婴得到充足的生存条件。对救助管理工作定期开展检查，对检查或抽查发现的问题及时进行整改。</w:t>
      </w:r>
    </w:p>
    <w:p w14:paraId="66E19003">
      <w:pPr>
        <w:numPr>
          <w:ilvl w:val="0"/>
          <w:numId w:val="0"/>
        </w:numPr>
        <w:ind w:leftChars="0"/>
        <w:rPr>
          <w:rFonts w:hint="eastAsia" w:ascii="仿宋" w:hAnsi="仿宋" w:eastAsia="仿宋"/>
          <w:sz w:val="32"/>
          <w:szCs w:val="32"/>
          <w:lang w:eastAsia="zh-CN"/>
        </w:rPr>
      </w:pPr>
      <w:r>
        <w:rPr>
          <w:rFonts w:hint="eastAsia" w:ascii="仿宋" w:hAnsi="仿宋" w:eastAsia="仿宋"/>
          <w:sz w:val="32"/>
          <w:szCs w:val="32"/>
          <w:lang w:eastAsia="zh-CN"/>
        </w:rPr>
        <w:t>（二）项目管理情况</w:t>
      </w:r>
    </w:p>
    <w:p w14:paraId="5E9E0A33">
      <w:pPr>
        <w:numPr>
          <w:ilvl w:val="0"/>
          <w:numId w:val="0"/>
        </w:numPr>
        <w:ind w:leftChars="0" w:firstLine="640"/>
        <w:rPr>
          <w:rFonts w:hint="eastAsia" w:ascii="仿宋" w:hAnsi="仿宋" w:eastAsia="仿宋"/>
          <w:sz w:val="32"/>
          <w:szCs w:val="32"/>
          <w:lang w:val="en-US" w:eastAsia="zh-CN"/>
        </w:rPr>
      </w:pPr>
      <w:r>
        <w:rPr>
          <w:rFonts w:hint="eastAsia" w:ascii="仿宋" w:hAnsi="仿宋" w:eastAsia="仿宋"/>
          <w:sz w:val="32"/>
          <w:szCs w:val="32"/>
          <w:lang w:val="en-US" w:eastAsia="zh-CN"/>
        </w:rPr>
        <w:t>弃婴生活费资金项目严格按照省民政厅、财政厅制定的使用范围，不超标准超范围使用资金。</w:t>
      </w:r>
    </w:p>
    <w:p w14:paraId="2F04E929">
      <w:pPr>
        <w:numPr>
          <w:ilvl w:val="0"/>
          <w:numId w:val="0"/>
        </w:numPr>
        <w:ind w:leftChars="0"/>
        <w:rPr>
          <w:rFonts w:hint="eastAsia" w:ascii="仿宋" w:hAnsi="仿宋" w:eastAsia="仿宋"/>
          <w:sz w:val="32"/>
          <w:szCs w:val="32"/>
          <w:lang w:val="en-US" w:eastAsia="zh-CN"/>
        </w:rPr>
      </w:pPr>
      <w:r>
        <w:rPr>
          <w:rFonts w:hint="eastAsia" w:ascii="仿宋" w:hAnsi="仿宋" w:eastAsia="仿宋"/>
          <w:sz w:val="32"/>
          <w:szCs w:val="32"/>
          <w:lang w:val="en-US" w:eastAsia="zh-CN"/>
        </w:rPr>
        <w:t>（三）项目监管情况</w:t>
      </w:r>
    </w:p>
    <w:p w14:paraId="14764FDB">
      <w:pPr>
        <w:numPr>
          <w:ilvl w:val="0"/>
          <w:numId w:val="0"/>
        </w:numPr>
        <w:ind w:leftChars="0" w:firstLine="640"/>
        <w:rPr>
          <w:rFonts w:hint="eastAsia" w:ascii="仿宋" w:hAnsi="仿宋" w:eastAsia="仿宋"/>
          <w:sz w:val="32"/>
          <w:szCs w:val="32"/>
          <w:lang w:val="en-US" w:eastAsia="zh-CN"/>
        </w:rPr>
      </w:pPr>
      <w:r>
        <w:rPr>
          <w:rFonts w:hint="eastAsia" w:ascii="仿宋" w:hAnsi="仿宋" w:eastAsia="仿宋"/>
          <w:sz w:val="32"/>
          <w:szCs w:val="32"/>
          <w:lang w:val="en-US" w:eastAsia="zh-CN"/>
        </w:rPr>
        <w:t>县财政局、民政局对弃婴生活费资金绩效目标实现情况进行监控、确保绩效目标如期实现。</w:t>
      </w:r>
    </w:p>
    <w:p w14:paraId="6FFFAD6A">
      <w:pPr>
        <w:numPr>
          <w:ilvl w:val="0"/>
          <w:numId w:val="0"/>
        </w:numPr>
        <w:rPr>
          <w:rFonts w:hint="eastAsia" w:ascii="仿宋" w:hAnsi="仿宋" w:eastAsia="仿宋"/>
          <w:sz w:val="32"/>
          <w:szCs w:val="32"/>
          <w:lang w:eastAsia="zh-CN"/>
        </w:rPr>
      </w:pPr>
      <w:r>
        <w:rPr>
          <w:rFonts w:hint="eastAsia" w:ascii="仿宋" w:hAnsi="仿宋" w:eastAsia="仿宋"/>
          <w:sz w:val="32"/>
          <w:szCs w:val="32"/>
          <w:lang w:eastAsia="zh-CN"/>
        </w:rPr>
        <w:t>四、项目绩效情况</w:t>
      </w:r>
    </w:p>
    <w:p w14:paraId="491FC2F9">
      <w:pPr>
        <w:numPr>
          <w:ilvl w:val="0"/>
          <w:numId w:val="0"/>
        </w:numPr>
        <w:rPr>
          <w:rFonts w:hint="eastAsia" w:ascii="仿宋" w:hAnsi="仿宋" w:eastAsia="仿宋"/>
          <w:sz w:val="32"/>
          <w:szCs w:val="32"/>
          <w:lang w:eastAsia="zh-CN"/>
        </w:rPr>
      </w:pPr>
      <w:r>
        <w:rPr>
          <w:rFonts w:hint="eastAsia" w:ascii="仿宋" w:hAnsi="仿宋" w:eastAsia="仿宋"/>
          <w:sz w:val="32"/>
          <w:szCs w:val="32"/>
          <w:lang w:eastAsia="zh-CN"/>
        </w:rPr>
        <w:t>（一）项目完成情况</w:t>
      </w:r>
    </w:p>
    <w:p w14:paraId="2A17BCD2">
      <w:pPr>
        <w:numPr>
          <w:ilvl w:val="0"/>
          <w:numId w:val="0"/>
        </w:numPr>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截至目前，我单位已经对送到救助站的1名弃婴进行了救助，确保弃婴全员接收，已完成全年任务的100%。</w:t>
      </w:r>
    </w:p>
    <w:p w14:paraId="10549100">
      <w:pPr>
        <w:numPr>
          <w:ilvl w:val="0"/>
          <w:numId w:val="0"/>
        </w:numPr>
        <w:ind w:leftChars="0"/>
        <w:rPr>
          <w:rFonts w:hint="eastAsia" w:ascii="仿宋" w:hAnsi="仿宋" w:eastAsia="仿宋"/>
          <w:sz w:val="32"/>
          <w:szCs w:val="32"/>
          <w:lang w:val="en-US" w:eastAsia="zh-CN"/>
        </w:rPr>
      </w:pPr>
      <w:r>
        <w:rPr>
          <w:rFonts w:hint="eastAsia" w:ascii="仿宋" w:hAnsi="仿宋" w:eastAsia="仿宋"/>
          <w:sz w:val="32"/>
          <w:szCs w:val="32"/>
          <w:lang w:val="en-US" w:eastAsia="zh-CN"/>
        </w:rPr>
        <w:t>（二）项目效益情况</w:t>
      </w:r>
    </w:p>
    <w:p w14:paraId="5EB21499">
      <w:pPr>
        <w:numPr>
          <w:ilvl w:val="0"/>
          <w:numId w:val="0"/>
        </w:numPr>
        <w:ind w:leftChars="0" w:firstLine="640"/>
        <w:rPr>
          <w:rFonts w:hint="eastAsia" w:ascii="仿宋" w:hAnsi="仿宋" w:eastAsia="仿宋"/>
          <w:sz w:val="32"/>
          <w:szCs w:val="32"/>
          <w:lang w:val="en-US" w:eastAsia="zh-CN"/>
        </w:rPr>
      </w:pPr>
      <w:r>
        <w:rPr>
          <w:rFonts w:hint="eastAsia" w:ascii="仿宋" w:hAnsi="仿宋" w:eastAsia="仿宋"/>
          <w:sz w:val="32"/>
          <w:szCs w:val="32"/>
          <w:lang w:val="en-US" w:eastAsia="zh-CN"/>
        </w:rPr>
        <w:t>弃婴生活费资金项目的社会效益指标是没有发生因弃婴遭人遗弃无人管理而发生重大事件；可持续影响是弃婴到及时救助持续发挥效益；无弃婴满意度</w:t>
      </w:r>
      <w:r>
        <w:rPr>
          <w:rFonts w:hint="default" w:ascii="Arial" w:hAnsi="Arial" w:eastAsia="仿宋" w:cs="Arial"/>
          <w:sz w:val="32"/>
          <w:szCs w:val="32"/>
          <w:lang w:val="en-US" w:eastAsia="zh-CN"/>
        </w:rPr>
        <w:t>≥</w:t>
      </w:r>
      <w:r>
        <w:rPr>
          <w:rFonts w:hint="eastAsia" w:ascii="仿宋" w:hAnsi="仿宋" w:eastAsia="仿宋"/>
          <w:sz w:val="32"/>
          <w:szCs w:val="32"/>
          <w:lang w:val="en-US" w:eastAsia="zh-CN"/>
        </w:rPr>
        <w:t>95%。</w:t>
      </w:r>
    </w:p>
    <w:p w14:paraId="1F357764">
      <w:pPr>
        <w:numPr>
          <w:ilvl w:val="0"/>
          <w:numId w:val="0"/>
        </w:numPr>
        <w:ind w:leftChars="0"/>
        <w:rPr>
          <w:rFonts w:hint="eastAsia" w:ascii="仿宋" w:hAnsi="仿宋" w:eastAsia="仿宋"/>
          <w:sz w:val="32"/>
          <w:szCs w:val="32"/>
          <w:lang w:val="en-US" w:eastAsia="zh-CN"/>
        </w:rPr>
      </w:pPr>
      <w:r>
        <w:rPr>
          <w:rFonts w:hint="eastAsia" w:ascii="仿宋" w:hAnsi="仿宋" w:eastAsia="仿宋"/>
          <w:sz w:val="32"/>
          <w:szCs w:val="32"/>
          <w:lang w:val="en-US" w:eastAsia="zh-CN"/>
        </w:rPr>
        <w:t>五、评价结论及建议</w:t>
      </w:r>
    </w:p>
    <w:p w14:paraId="23A7B838">
      <w:pPr>
        <w:numPr>
          <w:ilvl w:val="0"/>
          <w:numId w:val="0"/>
        </w:numPr>
        <w:rPr>
          <w:rFonts w:hint="eastAsia" w:ascii="仿宋" w:hAnsi="仿宋" w:eastAsia="仿宋"/>
          <w:sz w:val="32"/>
          <w:szCs w:val="32"/>
          <w:lang w:val="en-US" w:eastAsia="zh-CN"/>
        </w:rPr>
      </w:pPr>
      <w:r>
        <w:rPr>
          <w:rFonts w:hint="eastAsia" w:ascii="仿宋" w:hAnsi="仿宋" w:eastAsia="仿宋"/>
          <w:sz w:val="32"/>
          <w:szCs w:val="32"/>
          <w:lang w:val="en-US" w:eastAsia="zh-CN"/>
        </w:rPr>
        <w:t>（一）评价结论</w:t>
      </w:r>
    </w:p>
    <w:p w14:paraId="0CEC742B">
      <w:pPr>
        <w:numPr>
          <w:ilvl w:val="0"/>
          <w:numId w:val="0"/>
        </w:numPr>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弃婴生活费资金项目的实施，保障了弃婴的基本生存问题，保障了社会的安定团结。</w:t>
      </w:r>
    </w:p>
    <w:p w14:paraId="3DC8C77E">
      <w:pPr>
        <w:numPr>
          <w:ilvl w:val="0"/>
          <w:numId w:val="0"/>
        </w:numPr>
        <w:rPr>
          <w:rFonts w:hint="eastAsia" w:ascii="仿宋" w:hAnsi="仿宋" w:eastAsia="仿宋"/>
          <w:sz w:val="32"/>
          <w:szCs w:val="32"/>
          <w:lang w:val="en-US" w:eastAsia="zh-CN"/>
        </w:rPr>
      </w:pPr>
      <w:r>
        <w:rPr>
          <w:rFonts w:hint="eastAsia" w:ascii="仿宋" w:hAnsi="仿宋" w:eastAsia="仿宋"/>
          <w:sz w:val="32"/>
          <w:szCs w:val="32"/>
          <w:lang w:val="en-US" w:eastAsia="zh-CN"/>
        </w:rPr>
        <w:t>（二）存在的问题</w:t>
      </w:r>
    </w:p>
    <w:p w14:paraId="3B4F1C6C">
      <w:pPr>
        <w:numPr>
          <w:ilvl w:val="0"/>
          <w:numId w:val="0"/>
        </w:numPr>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1.“职业乞讨”现象依然存在。职业乞讨问题是一个社会问题，需要引起我们的重视，职业乞讨者很多都是成帮结伙，强讨硬要，这些职业乞丐是把乞讨作为长期的生活方式的流浪乞讨者，终年在城市里借乞讨生财，由于救助会影响他们的乞讨收入，多数不愿意接受救助，更不愿意返回原籍。救助管理站作为一个救助性的临时服务机构，实行自愿救助的原则，没有执法权。</w:t>
      </w:r>
    </w:p>
    <w:p w14:paraId="0306F5DF">
      <w:pPr>
        <w:numPr>
          <w:ilvl w:val="0"/>
          <w:numId w:val="0"/>
        </w:numPr>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2.救助对象身份甄别难度大。由于救助人员的多样性，在实际操作过程中，因多种原因求助人员无法提供完整的身份信息，有些没有身份证，有些连自己的名字都不知道，更不知道家庭住址，加上求助人员以口述为依据，救助对象流出地遍布全国各地，导致甄别核对工作量大。</w:t>
      </w:r>
    </w:p>
    <w:p w14:paraId="20522D3A">
      <w:pPr>
        <w:numPr>
          <w:ilvl w:val="0"/>
          <w:numId w:val="0"/>
        </w:numPr>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3.跑站、骗助形势严峻。由于救助站可以为求助人员提供返乡车票，一些人利用政策上的漏洞，往返于各个救助站之间骗助、骗票倒票，为个人牟利，成为生财之道，逐渐形成专业化、团伙化、多地化等特点。</w:t>
      </w:r>
    </w:p>
    <w:p w14:paraId="7B6F4A3F">
      <w:pPr>
        <w:numPr>
          <w:ilvl w:val="0"/>
          <w:numId w:val="0"/>
        </w:numPr>
        <w:rPr>
          <w:rFonts w:hint="eastAsia" w:ascii="仿宋" w:hAnsi="仿宋" w:eastAsia="仿宋"/>
          <w:sz w:val="32"/>
          <w:szCs w:val="32"/>
          <w:lang w:val="en-US" w:eastAsia="zh-CN"/>
        </w:rPr>
      </w:pPr>
      <w:r>
        <w:rPr>
          <w:rFonts w:hint="eastAsia" w:ascii="仿宋" w:hAnsi="仿宋" w:eastAsia="仿宋"/>
          <w:sz w:val="32"/>
          <w:szCs w:val="32"/>
          <w:lang w:val="en-US" w:eastAsia="zh-CN"/>
        </w:rPr>
        <w:t>（三）相关建议</w:t>
      </w:r>
    </w:p>
    <w:p w14:paraId="41724B45">
      <w:pPr>
        <w:numPr>
          <w:ilvl w:val="0"/>
          <w:numId w:val="0"/>
        </w:numPr>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1.全方位加强救助工作宣传报道力度。救助站要主动发制救助信息，尽量大可能帮助受助人员返回家庭。完善舆情应急预案，学会主动沟通、积极宣传。</w:t>
      </w:r>
    </w:p>
    <w:p w14:paraId="75C88D21">
      <w:pPr>
        <w:numPr>
          <w:ilvl w:val="0"/>
          <w:numId w:val="0"/>
        </w:numPr>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2.加强救助人员的身份查询及录亲工作。一是建立身份查询机制。通过受助人员指纹、体貌特征等线索，及时查询比对全国救助管理信息系统中的寻亲信息。对疑似走失、被遗弃、被拐卖的流浪乞讨人员，通过询问及走访群众、比对公安机关人中信息管理系统，核查其身份信息。二是建产寻亲服务机制。对于经快速查询未能确认身份的受助人员，我站将在其入站后24小时内通过传媒等形式发布寻亲公告，并在其入站后7个工作日内报请公安机关采集DNA数据。三是建立身份查询长效机制。对于滞留人员，继续开展手托养机构协助查询工作。</w:t>
      </w:r>
    </w:p>
    <w:p w14:paraId="63C621FB">
      <w:pPr>
        <w:numPr>
          <w:ilvl w:val="0"/>
          <w:numId w:val="0"/>
        </w:numPr>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3.严惩一些人利用政策上的漏洞，住返于各个救助站之间，骗助、骗票倒卖，牟利行为，保障我站救助工作有效的开展。</w:t>
      </w:r>
    </w:p>
    <w:p w14:paraId="4E533368">
      <w:pPr>
        <w:numPr>
          <w:ilvl w:val="0"/>
          <w:numId w:val="0"/>
        </w:numPr>
        <w:ind w:firstLine="640"/>
        <w:rPr>
          <w:rFonts w:hint="eastAsia" w:ascii="仿宋" w:hAnsi="仿宋" w:eastAsia="仿宋"/>
          <w:sz w:val="32"/>
          <w:szCs w:val="32"/>
          <w:lang w:val="en-US" w:eastAsia="zh-CN"/>
        </w:rPr>
      </w:pPr>
    </w:p>
    <w:p w14:paraId="73B110A0">
      <w:pPr>
        <w:numPr>
          <w:ilvl w:val="0"/>
          <w:numId w:val="0"/>
        </w:numPr>
        <w:ind w:firstLine="640"/>
        <w:rPr>
          <w:rFonts w:hint="eastAsia" w:ascii="仿宋" w:hAnsi="仿宋" w:eastAsia="仿宋"/>
          <w:sz w:val="32"/>
          <w:szCs w:val="32"/>
          <w:lang w:val="en-US" w:eastAsia="zh-CN"/>
        </w:rPr>
      </w:pPr>
    </w:p>
    <w:p w14:paraId="5CA45212">
      <w:pPr>
        <w:numPr>
          <w:ilvl w:val="0"/>
          <w:numId w:val="0"/>
        </w:numPr>
        <w:ind w:firstLine="640"/>
        <w:rPr>
          <w:rFonts w:hint="eastAsia" w:ascii="仿宋" w:hAnsi="仿宋" w:eastAsia="仿宋"/>
          <w:sz w:val="32"/>
          <w:szCs w:val="32"/>
          <w:lang w:val="en-US" w:eastAsia="zh-CN"/>
        </w:rPr>
      </w:pPr>
    </w:p>
    <w:p w14:paraId="2177CB23">
      <w:pPr>
        <w:jc w:val="center"/>
        <w:rPr>
          <w:rFonts w:hint="eastAsia" w:ascii="仿宋" w:hAnsi="仿宋" w:eastAsia="仿宋"/>
          <w:b/>
          <w:sz w:val="36"/>
          <w:szCs w:val="36"/>
        </w:rPr>
      </w:pPr>
    </w:p>
    <w:p w14:paraId="712F117D">
      <w:pPr>
        <w:jc w:val="center"/>
        <w:rPr>
          <w:rFonts w:hint="eastAsia" w:ascii="仿宋" w:hAnsi="仿宋" w:eastAsia="仿宋"/>
          <w:b/>
          <w:sz w:val="36"/>
          <w:szCs w:val="36"/>
        </w:rPr>
      </w:pPr>
      <w:r>
        <w:rPr>
          <w:rFonts w:hint="eastAsia" w:ascii="仿宋" w:hAnsi="仿宋" w:eastAsia="仿宋"/>
          <w:b/>
          <w:sz w:val="36"/>
          <w:szCs w:val="36"/>
        </w:rPr>
        <w:t>岳池县社会救助福利中心</w:t>
      </w:r>
      <w:r>
        <w:rPr>
          <w:rFonts w:ascii="仿宋" w:hAnsi="仿宋" w:eastAsia="仿宋"/>
          <w:b/>
          <w:sz w:val="36"/>
          <w:szCs w:val="36"/>
        </w:rPr>
        <w:t>202</w:t>
      </w:r>
      <w:r>
        <w:rPr>
          <w:rFonts w:hint="eastAsia" w:ascii="仿宋" w:hAnsi="仿宋" w:eastAsia="仿宋"/>
          <w:b/>
          <w:sz w:val="36"/>
          <w:szCs w:val="36"/>
          <w:lang w:val="en-US" w:eastAsia="zh-CN"/>
        </w:rPr>
        <w:t>2</w:t>
      </w:r>
      <w:r>
        <w:rPr>
          <w:rFonts w:ascii="仿宋" w:hAnsi="仿宋" w:eastAsia="仿宋"/>
          <w:b/>
          <w:sz w:val="36"/>
          <w:szCs w:val="36"/>
        </w:rPr>
        <w:t>年</w:t>
      </w:r>
    </w:p>
    <w:p w14:paraId="7856458D">
      <w:pPr>
        <w:jc w:val="center"/>
        <w:rPr>
          <w:rFonts w:hint="eastAsia" w:ascii="仿宋" w:hAnsi="仿宋" w:eastAsia="仿宋"/>
          <w:b/>
          <w:sz w:val="36"/>
          <w:szCs w:val="36"/>
        </w:rPr>
      </w:pPr>
      <w:r>
        <w:rPr>
          <w:rFonts w:hint="eastAsia" w:ascii="仿宋" w:hAnsi="仿宋" w:eastAsia="仿宋"/>
          <w:b/>
          <w:sz w:val="36"/>
          <w:szCs w:val="36"/>
          <w:lang w:eastAsia="zh-CN"/>
        </w:rPr>
        <w:t>弃婴护理费</w:t>
      </w:r>
      <w:r>
        <w:rPr>
          <w:rFonts w:hint="eastAsia" w:ascii="仿宋" w:hAnsi="仿宋" w:eastAsia="仿宋"/>
          <w:b/>
          <w:sz w:val="36"/>
          <w:szCs w:val="36"/>
        </w:rPr>
        <w:t>项目支出绩效自评报告</w:t>
      </w:r>
    </w:p>
    <w:p w14:paraId="108A863B">
      <w:pPr>
        <w:jc w:val="center"/>
        <w:rPr>
          <w:rFonts w:hint="eastAsia" w:ascii="仿宋" w:hAnsi="仿宋" w:eastAsia="仿宋"/>
          <w:b/>
          <w:sz w:val="36"/>
          <w:szCs w:val="36"/>
        </w:rPr>
      </w:pPr>
    </w:p>
    <w:p w14:paraId="4D827131">
      <w:pPr>
        <w:ind w:firstLine="640" w:firstLineChars="200"/>
        <w:rPr>
          <w:rFonts w:hint="eastAsia" w:ascii="仿宋" w:hAnsi="仿宋" w:eastAsia="仿宋"/>
          <w:sz w:val="32"/>
          <w:szCs w:val="32"/>
        </w:rPr>
      </w:pPr>
      <w:r>
        <w:rPr>
          <w:rFonts w:hint="eastAsia" w:ascii="仿宋" w:hAnsi="仿宋" w:eastAsia="仿宋"/>
          <w:sz w:val="32"/>
          <w:szCs w:val="32"/>
        </w:rPr>
        <w:t>为进一步管理和使用好财政资金，提高流浪乞讨人员救助补助资金使用效益和项目管理水平，根据《财政部关于印发&lt;财政支出绩效评价管理暂行办法&gt;的通知》，我中心专门成立了绩效评价工作小姐，对202</w:t>
      </w:r>
      <w:r>
        <w:rPr>
          <w:rFonts w:hint="eastAsia" w:ascii="仿宋" w:hAnsi="仿宋" w:eastAsia="仿宋"/>
          <w:sz w:val="32"/>
          <w:szCs w:val="32"/>
          <w:lang w:val="en-US" w:eastAsia="zh-CN"/>
        </w:rPr>
        <w:t>2</w:t>
      </w:r>
      <w:r>
        <w:rPr>
          <w:rFonts w:hint="eastAsia" w:ascii="仿宋" w:hAnsi="仿宋" w:eastAsia="仿宋"/>
          <w:sz w:val="32"/>
          <w:szCs w:val="32"/>
        </w:rPr>
        <w:t>年度</w:t>
      </w:r>
      <w:r>
        <w:rPr>
          <w:rFonts w:hint="eastAsia" w:ascii="仿宋" w:hAnsi="仿宋" w:eastAsia="仿宋"/>
          <w:sz w:val="32"/>
          <w:szCs w:val="32"/>
          <w:lang w:eastAsia="zh-CN"/>
        </w:rPr>
        <w:t>弃婴护理费</w:t>
      </w:r>
      <w:r>
        <w:rPr>
          <w:rFonts w:hint="eastAsia" w:ascii="仿宋" w:hAnsi="仿宋" w:eastAsia="仿宋"/>
          <w:sz w:val="32"/>
          <w:szCs w:val="32"/>
        </w:rPr>
        <w:t>资金使用与管理开展了绩效评价，绩效评价自评报告如下：</w:t>
      </w:r>
    </w:p>
    <w:p w14:paraId="22F8C737">
      <w:pPr>
        <w:pStyle w:val="15"/>
        <w:numPr>
          <w:ilvl w:val="0"/>
          <w:numId w:val="14"/>
        </w:numPr>
        <w:ind w:firstLineChars="0"/>
        <w:rPr>
          <w:rFonts w:hint="eastAsia" w:ascii="仿宋" w:hAnsi="仿宋" w:eastAsia="仿宋"/>
          <w:sz w:val="32"/>
          <w:szCs w:val="32"/>
        </w:rPr>
      </w:pPr>
      <w:r>
        <w:rPr>
          <w:rFonts w:hint="eastAsia" w:ascii="仿宋" w:hAnsi="仿宋" w:eastAsia="仿宋"/>
          <w:sz w:val="32"/>
          <w:szCs w:val="32"/>
        </w:rPr>
        <w:t>项目概况</w:t>
      </w:r>
    </w:p>
    <w:p w14:paraId="4ED979CF">
      <w:pPr>
        <w:pStyle w:val="15"/>
        <w:numPr>
          <w:ilvl w:val="0"/>
          <w:numId w:val="0"/>
        </w:numPr>
        <w:ind w:leftChars="0"/>
        <w:rPr>
          <w:rFonts w:hint="eastAsia" w:ascii="仿宋" w:hAnsi="仿宋" w:eastAsia="仿宋"/>
          <w:sz w:val="32"/>
          <w:szCs w:val="32"/>
          <w:lang w:eastAsia="zh-CN"/>
        </w:rPr>
      </w:pPr>
      <w:r>
        <w:rPr>
          <w:rFonts w:hint="eastAsia" w:ascii="仿宋" w:hAnsi="仿宋" w:eastAsia="仿宋"/>
          <w:sz w:val="32"/>
          <w:szCs w:val="32"/>
          <w:lang w:eastAsia="zh-CN"/>
        </w:rPr>
        <w:t>（一）项目基本情况</w:t>
      </w:r>
    </w:p>
    <w:p w14:paraId="6246DCE1">
      <w:pPr>
        <w:ind w:left="720"/>
        <w:rPr>
          <w:rFonts w:hint="eastAsia" w:ascii="仿宋" w:hAnsi="仿宋" w:eastAsia="仿宋"/>
          <w:sz w:val="32"/>
          <w:szCs w:val="32"/>
        </w:rPr>
      </w:pPr>
      <w:r>
        <w:rPr>
          <w:rFonts w:hint="eastAsia" w:ascii="仿宋" w:hAnsi="仿宋" w:eastAsia="仿宋"/>
          <w:sz w:val="32"/>
          <w:szCs w:val="32"/>
        </w:rPr>
        <w:t>救助站对流浪乞讨人员的救助是一项临时性社会救助</w:t>
      </w:r>
    </w:p>
    <w:p w14:paraId="152CCF1F">
      <w:pPr>
        <w:rPr>
          <w:rFonts w:hint="eastAsia" w:ascii="仿宋" w:hAnsi="仿宋" w:eastAsia="仿宋"/>
          <w:sz w:val="32"/>
          <w:szCs w:val="32"/>
        </w:rPr>
      </w:pPr>
      <w:r>
        <w:rPr>
          <w:rFonts w:hint="eastAsia" w:ascii="仿宋" w:hAnsi="仿宋" w:eastAsia="仿宋"/>
          <w:sz w:val="32"/>
          <w:szCs w:val="32"/>
        </w:rPr>
        <w:t>措施。根据《中央财政流浪乞讨人员救助补助资金管理办法》（财社【2014】71号）的要求，救助站对202</w:t>
      </w:r>
      <w:r>
        <w:rPr>
          <w:rFonts w:hint="eastAsia" w:ascii="仿宋" w:hAnsi="仿宋" w:eastAsia="仿宋"/>
          <w:sz w:val="32"/>
          <w:szCs w:val="32"/>
          <w:lang w:val="en-US" w:eastAsia="zh-CN"/>
        </w:rPr>
        <w:t>2</w:t>
      </w:r>
      <w:r>
        <w:rPr>
          <w:rFonts w:hint="eastAsia" w:ascii="仿宋" w:hAnsi="仿宋" w:eastAsia="仿宋"/>
          <w:sz w:val="32"/>
          <w:szCs w:val="32"/>
        </w:rPr>
        <w:t>年流浪乞讨人员救助补助专项资金实行专款专用，并将专项资金用于生活无着的流浪乞讨人员主动救助、生活救助、医疗救治、教育矫治、返乡救助、临时安置以及未成年人社会保护等救助保护工作。</w:t>
      </w:r>
    </w:p>
    <w:p w14:paraId="0F8106A1">
      <w:pPr>
        <w:ind w:firstLine="645"/>
        <w:rPr>
          <w:rFonts w:hint="eastAsia" w:ascii="仿宋" w:hAnsi="仿宋" w:eastAsia="仿宋"/>
          <w:sz w:val="32"/>
          <w:szCs w:val="32"/>
        </w:rPr>
      </w:pPr>
      <w:r>
        <w:rPr>
          <w:rFonts w:hint="eastAsia" w:ascii="仿宋" w:hAnsi="仿宋" w:eastAsia="仿宋"/>
          <w:sz w:val="32"/>
          <w:szCs w:val="32"/>
        </w:rPr>
        <w:t>做好城市流浪乞讨人员的救助和管理这项工作，是落实科学发展观和构建社会主义和谐社会的必然要求，也是解决流浪乞讨人员基本生存问题的重要举措。对提升城市形象、维护社会稳定、促进社会和谐发展起到了关键性的作用。做好</w:t>
      </w:r>
      <w:r>
        <w:rPr>
          <w:rFonts w:hint="eastAsia" w:ascii="仿宋" w:hAnsi="仿宋" w:eastAsia="仿宋"/>
          <w:sz w:val="32"/>
          <w:szCs w:val="32"/>
          <w:lang w:eastAsia="zh-CN"/>
        </w:rPr>
        <w:t>弃婴</w:t>
      </w:r>
      <w:r>
        <w:rPr>
          <w:rFonts w:hint="eastAsia" w:ascii="仿宋" w:hAnsi="仿宋" w:eastAsia="仿宋"/>
          <w:sz w:val="32"/>
          <w:szCs w:val="32"/>
        </w:rPr>
        <w:t>的生活保障对社会稳定起到了至关重要的作用。</w:t>
      </w:r>
    </w:p>
    <w:p w14:paraId="4FCEF29C">
      <w:pPr>
        <w:numPr>
          <w:ilvl w:val="0"/>
          <w:numId w:val="0"/>
        </w:numPr>
        <w:ind w:leftChars="0"/>
        <w:rPr>
          <w:rFonts w:hint="eastAsia" w:ascii="仿宋" w:hAnsi="仿宋" w:eastAsia="仿宋"/>
          <w:sz w:val="32"/>
          <w:szCs w:val="32"/>
          <w:lang w:eastAsia="zh-CN"/>
        </w:rPr>
      </w:pPr>
      <w:r>
        <w:rPr>
          <w:rFonts w:hint="eastAsia" w:ascii="仿宋" w:hAnsi="仿宋" w:eastAsia="仿宋"/>
          <w:sz w:val="32"/>
          <w:szCs w:val="32"/>
          <w:lang w:eastAsia="zh-CN"/>
        </w:rPr>
        <w:t>（二）项目绩效目标</w:t>
      </w:r>
    </w:p>
    <w:p w14:paraId="01917595">
      <w:pPr>
        <w:ind w:firstLine="645"/>
        <w:rPr>
          <w:rFonts w:hint="eastAsia" w:ascii="仿宋" w:hAnsi="仿宋" w:eastAsia="仿宋"/>
          <w:sz w:val="32"/>
          <w:szCs w:val="32"/>
          <w:lang w:eastAsia="zh-CN"/>
        </w:rPr>
      </w:pPr>
      <w:r>
        <w:rPr>
          <w:rFonts w:hint="eastAsia" w:ascii="仿宋" w:hAnsi="仿宋" w:eastAsia="仿宋"/>
          <w:sz w:val="32"/>
          <w:szCs w:val="32"/>
          <w:lang w:eastAsia="zh-CN"/>
        </w:rPr>
        <w:t>弃婴护理费</w:t>
      </w:r>
      <w:r>
        <w:rPr>
          <w:rFonts w:hint="eastAsia" w:ascii="仿宋" w:hAnsi="仿宋" w:eastAsia="仿宋"/>
          <w:sz w:val="32"/>
          <w:szCs w:val="32"/>
        </w:rPr>
        <w:t>项目的主要内容是完成</w:t>
      </w:r>
      <w:r>
        <w:rPr>
          <w:rFonts w:hint="eastAsia" w:ascii="仿宋" w:hAnsi="仿宋" w:eastAsia="仿宋"/>
          <w:sz w:val="32"/>
          <w:szCs w:val="32"/>
          <w:lang w:eastAsia="zh-CN"/>
        </w:rPr>
        <w:t>对送到救助站的弃婴进行专人护理。</w:t>
      </w:r>
    </w:p>
    <w:p w14:paraId="42C06934">
      <w:pPr>
        <w:ind w:firstLine="645"/>
        <w:rPr>
          <w:rFonts w:hint="eastAsia" w:ascii="仿宋" w:hAnsi="仿宋" w:eastAsia="仿宋"/>
          <w:sz w:val="32"/>
          <w:szCs w:val="32"/>
        </w:rPr>
      </w:pPr>
      <w:r>
        <w:rPr>
          <w:rFonts w:hint="eastAsia" w:ascii="仿宋" w:hAnsi="仿宋" w:eastAsia="仿宋"/>
          <w:sz w:val="32"/>
          <w:szCs w:val="32"/>
          <w:lang w:eastAsia="zh-CN"/>
        </w:rPr>
        <w:t>弃婴护理费</w:t>
      </w:r>
      <w:r>
        <w:rPr>
          <w:rFonts w:hint="eastAsia" w:ascii="仿宋" w:hAnsi="仿宋" w:eastAsia="仿宋"/>
          <w:sz w:val="32"/>
          <w:szCs w:val="32"/>
        </w:rPr>
        <w:t>资金项目预计全年需要完成对</w:t>
      </w:r>
      <w:r>
        <w:rPr>
          <w:rFonts w:hint="eastAsia" w:ascii="仿宋" w:hAnsi="仿宋" w:eastAsia="仿宋"/>
          <w:sz w:val="32"/>
          <w:szCs w:val="32"/>
          <w:lang w:val="en-US" w:eastAsia="zh-CN"/>
        </w:rPr>
        <w:t>3名弃婴找专人进行护理</w:t>
      </w:r>
      <w:r>
        <w:rPr>
          <w:rFonts w:hint="eastAsia" w:ascii="仿宋" w:hAnsi="仿宋" w:eastAsia="仿宋"/>
          <w:sz w:val="32"/>
          <w:szCs w:val="32"/>
        </w:rPr>
        <w:t>，</w:t>
      </w:r>
      <w:r>
        <w:rPr>
          <w:rFonts w:hint="eastAsia" w:ascii="仿宋" w:hAnsi="仿宋" w:eastAsia="仿宋"/>
          <w:sz w:val="32"/>
          <w:szCs w:val="32"/>
          <w:lang w:eastAsia="zh-CN"/>
        </w:rPr>
        <w:t>弃婴</w:t>
      </w:r>
      <w:r>
        <w:rPr>
          <w:rFonts w:hint="eastAsia" w:ascii="仿宋" w:hAnsi="仿宋" w:eastAsia="仿宋"/>
          <w:sz w:val="32"/>
          <w:szCs w:val="32"/>
        </w:rPr>
        <w:t>人均</w:t>
      </w:r>
      <w:r>
        <w:rPr>
          <w:rFonts w:hint="eastAsia" w:ascii="仿宋" w:hAnsi="仿宋" w:eastAsia="仿宋"/>
          <w:sz w:val="32"/>
          <w:szCs w:val="32"/>
          <w:lang w:eastAsia="zh-CN"/>
        </w:rPr>
        <w:t>护理费用标准</w:t>
      </w:r>
      <w:r>
        <w:rPr>
          <w:rFonts w:hint="eastAsia" w:ascii="仿宋" w:hAnsi="仿宋" w:eastAsia="仿宋"/>
          <w:sz w:val="32"/>
          <w:szCs w:val="32"/>
        </w:rPr>
        <w:t>为</w:t>
      </w:r>
      <w:r>
        <w:rPr>
          <w:rFonts w:hint="eastAsia" w:ascii="仿宋" w:hAnsi="仿宋" w:eastAsia="仿宋"/>
          <w:sz w:val="32"/>
          <w:szCs w:val="32"/>
          <w:lang w:val="en-US" w:eastAsia="zh-CN"/>
        </w:rPr>
        <w:t>4374</w:t>
      </w:r>
      <w:r>
        <w:rPr>
          <w:rFonts w:hint="eastAsia" w:ascii="仿宋" w:hAnsi="仿宋" w:eastAsia="仿宋"/>
          <w:sz w:val="32"/>
          <w:szCs w:val="32"/>
        </w:rPr>
        <w:t>元/人，要达到的效益目标是让每名</w:t>
      </w:r>
      <w:r>
        <w:rPr>
          <w:rFonts w:hint="eastAsia" w:ascii="仿宋" w:hAnsi="仿宋" w:eastAsia="仿宋"/>
          <w:sz w:val="32"/>
          <w:szCs w:val="32"/>
          <w:lang w:eastAsia="zh-CN"/>
        </w:rPr>
        <w:t>送到救助站的弃婴得到专人管理及救助</w:t>
      </w:r>
      <w:r>
        <w:rPr>
          <w:rFonts w:hint="eastAsia" w:ascii="仿宋" w:hAnsi="仿宋" w:eastAsia="仿宋"/>
          <w:sz w:val="32"/>
          <w:szCs w:val="32"/>
        </w:rPr>
        <w:t>，不发生因</w:t>
      </w:r>
      <w:r>
        <w:rPr>
          <w:rFonts w:hint="eastAsia" w:ascii="仿宋" w:hAnsi="仿宋" w:eastAsia="仿宋"/>
          <w:sz w:val="32"/>
          <w:szCs w:val="32"/>
          <w:lang w:eastAsia="zh-CN"/>
        </w:rPr>
        <w:t>弃婴</w:t>
      </w:r>
      <w:r>
        <w:rPr>
          <w:rFonts w:hint="eastAsia" w:ascii="仿宋" w:hAnsi="仿宋" w:eastAsia="仿宋"/>
          <w:sz w:val="32"/>
          <w:szCs w:val="32"/>
        </w:rPr>
        <w:t>没有得到及时</w:t>
      </w:r>
      <w:r>
        <w:rPr>
          <w:rFonts w:hint="eastAsia" w:ascii="仿宋" w:hAnsi="仿宋" w:eastAsia="仿宋"/>
          <w:sz w:val="32"/>
          <w:szCs w:val="32"/>
          <w:lang w:eastAsia="zh-CN"/>
        </w:rPr>
        <w:t>护理而</w:t>
      </w:r>
      <w:r>
        <w:rPr>
          <w:rFonts w:hint="eastAsia" w:ascii="仿宋" w:hAnsi="仿宋" w:eastAsia="仿宋"/>
          <w:sz w:val="32"/>
          <w:szCs w:val="32"/>
        </w:rPr>
        <w:t>发生的重大事情。</w:t>
      </w:r>
      <w:r>
        <w:rPr>
          <w:rFonts w:hint="eastAsia" w:ascii="仿宋" w:hAnsi="仿宋" w:eastAsia="仿宋"/>
          <w:sz w:val="32"/>
          <w:szCs w:val="32"/>
          <w:lang w:eastAsia="zh-CN"/>
        </w:rPr>
        <w:t>弃婴护理费</w:t>
      </w:r>
      <w:r>
        <w:rPr>
          <w:rFonts w:hint="eastAsia" w:ascii="仿宋" w:hAnsi="仿宋" w:eastAsia="仿宋"/>
          <w:sz w:val="32"/>
          <w:szCs w:val="32"/>
        </w:rPr>
        <w:t>资金项目满意度达到95%以上。</w:t>
      </w:r>
    </w:p>
    <w:p w14:paraId="1B5547B1">
      <w:pPr>
        <w:numPr>
          <w:ilvl w:val="0"/>
          <w:numId w:val="0"/>
        </w:numPr>
        <w:ind w:leftChars="0"/>
        <w:rPr>
          <w:rFonts w:hint="eastAsia" w:ascii="仿宋" w:hAnsi="仿宋" w:eastAsia="仿宋"/>
          <w:sz w:val="32"/>
          <w:szCs w:val="32"/>
          <w:lang w:eastAsia="zh-CN"/>
        </w:rPr>
      </w:pPr>
      <w:r>
        <w:rPr>
          <w:rFonts w:hint="eastAsia" w:ascii="仿宋" w:hAnsi="仿宋" w:eastAsia="仿宋"/>
          <w:sz w:val="32"/>
          <w:szCs w:val="32"/>
          <w:lang w:eastAsia="zh-CN"/>
        </w:rPr>
        <w:t>（三）项目自评步骤及方法</w:t>
      </w:r>
    </w:p>
    <w:p w14:paraId="156CAFA6">
      <w:pPr>
        <w:numPr>
          <w:ilvl w:val="0"/>
          <w:numId w:val="0"/>
        </w:numPr>
        <w:ind w:leftChars="0" w:firstLine="640"/>
        <w:rPr>
          <w:rFonts w:hint="eastAsia" w:ascii="仿宋" w:hAnsi="仿宋" w:eastAsia="仿宋"/>
          <w:sz w:val="32"/>
          <w:szCs w:val="32"/>
          <w:lang w:val="en-US" w:eastAsia="zh-CN"/>
        </w:rPr>
      </w:pPr>
      <w:r>
        <w:rPr>
          <w:rFonts w:hint="eastAsia" w:ascii="仿宋" w:hAnsi="仿宋" w:eastAsia="仿宋"/>
          <w:sz w:val="32"/>
          <w:szCs w:val="32"/>
          <w:lang w:val="en-US" w:eastAsia="zh-CN"/>
        </w:rPr>
        <w:t>弃婴护理费项目绩效自评以单位自评为主、上级部门抽评为辅的方式。</w:t>
      </w:r>
    </w:p>
    <w:p w14:paraId="2DA9C8C2">
      <w:pPr>
        <w:numPr>
          <w:ilvl w:val="0"/>
          <w:numId w:val="0"/>
        </w:numPr>
        <w:rPr>
          <w:rFonts w:hint="default" w:ascii="仿宋" w:hAnsi="仿宋" w:eastAsia="仿宋"/>
          <w:sz w:val="32"/>
          <w:szCs w:val="32"/>
          <w:lang w:val="en-US" w:eastAsia="zh-CN"/>
        </w:rPr>
      </w:pPr>
      <w:r>
        <w:rPr>
          <w:rFonts w:hint="eastAsia" w:ascii="仿宋" w:hAnsi="仿宋" w:eastAsia="仿宋"/>
          <w:sz w:val="32"/>
          <w:szCs w:val="32"/>
          <w:lang w:val="en-US" w:eastAsia="zh-CN"/>
        </w:rPr>
        <w:t>二、项目资金申报及使用情况</w:t>
      </w:r>
    </w:p>
    <w:p w14:paraId="2508233F">
      <w:pPr>
        <w:pStyle w:val="15"/>
        <w:numPr>
          <w:ilvl w:val="0"/>
          <w:numId w:val="0"/>
        </w:numPr>
        <w:ind w:leftChars="0"/>
        <w:rPr>
          <w:rFonts w:hint="eastAsia"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项目资金申报及批复情况</w:t>
      </w:r>
    </w:p>
    <w:p w14:paraId="68EC3D4C">
      <w:pPr>
        <w:ind w:firstLine="645"/>
        <w:rPr>
          <w:rFonts w:hint="eastAsia" w:ascii="仿宋" w:hAnsi="仿宋" w:eastAsia="仿宋"/>
          <w:sz w:val="32"/>
          <w:szCs w:val="32"/>
          <w:lang w:eastAsia="zh-CN"/>
        </w:rPr>
      </w:pPr>
      <w:r>
        <w:rPr>
          <w:rFonts w:hint="eastAsia" w:ascii="仿宋" w:hAnsi="仿宋" w:eastAsia="仿宋"/>
          <w:sz w:val="32"/>
          <w:szCs w:val="32"/>
          <w:lang w:eastAsia="zh-CN"/>
        </w:rPr>
        <w:t>弃婴护理费</w:t>
      </w:r>
      <w:r>
        <w:rPr>
          <w:rFonts w:hint="eastAsia" w:ascii="仿宋" w:hAnsi="仿宋" w:eastAsia="仿宋"/>
          <w:sz w:val="32"/>
          <w:szCs w:val="32"/>
        </w:rPr>
        <w:t>项目按照国家的相关法律法规、国民经济发展规划和党委政府决定，并结合我县实际，量化救助标准，分类实施救助，全力做好辖区内</w:t>
      </w:r>
      <w:r>
        <w:rPr>
          <w:rFonts w:hint="eastAsia" w:ascii="仿宋" w:hAnsi="仿宋" w:eastAsia="仿宋"/>
          <w:sz w:val="32"/>
          <w:szCs w:val="32"/>
          <w:lang w:eastAsia="zh-CN"/>
        </w:rPr>
        <w:t>对送到救助站的弃婴进行抚养照顾工作。</w:t>
      </w:r>
    </w:p>
    <w:p w14:paraId="63F80FF8">
      <w:pPr>
        <w:ind w:firstLine="645"/>
        <w:rPr>
          <w:rFonts w:hint="eastAsia" w:ascii="仿宋" w:hAnsi="仿宋" w:eastAsia="仿宋"/>
          <w:sz w:val="32"/>
          <w:szCs w:val="32"/>
        </w:rPr>
      </w:pPr>
      <w:r>
        <w:rPr>
          <w:rFonts w:hint="eastAsia" w:ascii="仿宋" w:hAnsi="仿宋" w:eastAsia="仿宋"/>
          <w:sz w:val="32"/>
          <w:szCs w:val="32"/>
        </w:rPr>
        <w:t>经县人大会议审议通过，</w:t>
      </w:r>
      <w:r>
        <w:rPr>
          <w:rFonts w:hint="eastAsia" w:ascii="仿宋" w:hAnsi="仿宋" w:eastAsia="仿宋"/>
          <w:sz w:val="32"/>
          <w:szCs w:val="32"/>
          <w:lang w:eastAsia="zh-CN"/>
        </w:rPr>
        <w:t>弃婴护理费</w:t>
      </w:r>
      <w:r>
        <w:rPr>
          <w:rFonts w:hint="eastAsia" w:ascii="仿宋" w:hAnsi="仿宋" w:eastAsia="仿宋"/>
          <w:sz w:val="32"/>
          <w:szCs w:val="32"/>
        </w:rPr>
        <w:t>资金项目纳入年度预算管理。</w:t>
      </w:r>
    </w:p>
    <w:p w14:paraId="03CA0980">
      <w:pPr>
        <w:numPr>
          <w:ilvl w:val="0"/>
          <w:numId w:val="0"/>
        </w:numPr>
        <w:ind w:leftChars="0"/>
        <w:rPr>
          <w:rFonts w:hint="eastAsia" w:ascii="仿宋" w:hAnsi="仿宋" w:eastAsia="仿宋"/>
          <w:sz w:val="32"/>
          <w:szCs w:val="32"/>
          <w:lang w:eastAsia="zh-CN"/>
        </w:rPr>
      </w:pPr>
      <w:r>
        <w:rPr>
          <w:rFonts w:hint="eastAsia" w:ascii="仿宋" w:hAnsi="仿宋" w:eastAsia="仿宋"/>
          <w:sz w:val="32"/>
          <w:szCs w:val="32"/>
          <w:lang w:eastAsia="zh-CN"/>
        </w:rPr>
        <w:t>（二）资金计划、到位及使用情况</w:t>
      </w:r>
    </w:p>
    <w:p w14:paraId="247AF294">
      <w:pPr>
        <w:numPr>
          <w:ilvl w:val="0"/>
          <w:numId w:val="0"/>
        </w:numPr>
        <w:ind w:left="640" w:leftChars="0"/>
        <w:rPr>
          <w:rFonts w:hint="eastAsia" w:ascii="仿宋" w:hAnsi="仿宋" w:eastAsia="仿宋"/>
          <w:sz w:val="32"/>
          <w:szCs w:val="32"/>
          <w:lang w:val="en-US" w:eastAsia="zh-CN"/>
        </w:rPr>
      </w:pPr>
      <w:r>
        <w:rPr>
          <w:rFonts w:hint="eastAsia" w:ascii="仿宋" w:hAnsi="仿宋" w:eastAsia="仿宋"/>
          <w:sz w:val="32"/>
          <w:szCs w:val="32"/>
          <w:lang w:val="en-US" w:eastAsia="zh-CN"/>
        </w:rPr>
        <w:t>1.资金计划</w:t>
      </w:r>
    </w:p>
    <w:p w14:paraId="748B7466">
      <w:pPr>
        <w:ind w:firstLine="645"/>
        <w:rPr>
          <w:rFonts w:hint="eastAsia" w:ascii="仿宋" w:hAnsi="仿宋" w:eastAsia="仿宋"/>
          <w:sz w:val="32"/>
          <w:szCs w:val="32"/>
        </w:rPr>
      </w:pPr>
      <w:r>
        <w:rPr>
          <w:rFonts w:hint="eastAsia" w:ascii="仿宋" w:hAnsi="仿宋" w:eastAsia="仿宋"/>
          <w:sz w:val="32"/>
          <w:szCs w:val="32"/>
        </w:rPr>
        <w:t>按照《四川省流浪乞讨人员救助补助资金管理办法》的规定，将</w:t>
      </w:r>
      <w:r>
        <w:rPr>
          <w:rFonts w:hint="eastAsia" w:ascii="仿宋" w:hAnsi="仿宋" w:eastAsia="仿宋"/>
          <w:sz w:val="32"/>
          <w:szCs w:val="32"/>
          <w:lang w:eastAsia="zh-CN"/>
        </w:rPr>
        <w:t>弃婴护理费</w:t>
      </w:r>
      <w:r>
        <w:rPr>
          <w:rFonts w:hint="eastAsia" w:ascii="仿宋" w:hAnsi="仿宋" w:eastAsia="仿宋"/>
          <w:sz w:val="32"/>
          <w:szCs w:val="32"/>
        </w:rPr>
        <w:t>资金纳入年度预算。</w:t>
      </w:r>
    </w:p>
    <w:p w14:paraId="2355D709">
      <w:pPr>
        <w:numPr>
          <w:ilvl w:val="0"/>
          <w:numId w:val="0"/>
        </w:numPr>
        <w:ind w:leftChars="0"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2.资金到位</w:t>
      </w:r>
    </w:p>
    <w:p w14:paraId="01F9841A">
      <w:pPr>
        <w:ind w:firstLine="645"/>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sz w:val="32"/>
          <w:szCs w:val="32"/>
          <w:lang w:eastAsia="zh-CN"/>
        </w:rPr>
        <w:t>弃婴生活费</w:t>
      </w:r>
      <w:r>
        <w:rPr>
          <w:rFonts w:hint="eastAsia" w:ascii="仿宋" w:hAnsi="仿宋" w:eastAsia="仿宋"/>
          <w:sz w:val="32"/>
          <w:szCs w:val="32"/>
        </w:rPr>
        <w:t>资金项目预算金额为</w:t>
      </w:r>
      <w:r>
        <w:rPr>
          <w:rFonts w:hint="eastAsia" w:ascii="仿宋" w:hAnsi="仿宋" w:eastAsia="仿宋"/>
          <w:sz w:val="32"/>
          <w:szCs w:val="32"/>
          <w:lang w:val="en-US" w:eastAsia="zh-CN"/>
        </w:rPr>
        <w:t>1.31</w:t>
      </w:r>
      <w:r>
        <w:rPr>
          <w:rFonts w:hint="eastAsia" w:ascii="仿宋" w:hAnsi="仿宋" w:eastAsia="仿宋"/>
          <w:sz w:val="32"/>
          <w:szCs w:val="32"/>
        </w:rPr>
        <w:t>万元，已全部拨付到位，资金到位率为100%。</w:t>
      </w:r>
    </w:p>
    <w:p w14:paraId="42CB4A03">
      <w:pPr>
        <w:numPr>
          <w:ilvl w:val="0"/>
          <w:numId w:val="0"/>
        </w:numPr>
        <w:ind w:leftChars="0"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3.资金使用</w:t>
      </w:r>
    </w:p>
    <w:p w14:paraId="3D9A2616">
      <w:pPr>
        <w:ind w:firstLine="645"/>
        <w:rPr>
          <w:rFonts w:hint="eastAsia" w:ascii="仿宋" w:hAnsi="仿宋" w:eastAsia="仿宋"/>
          <w:sz w:val="32"/>
          <w:szCs w:val="32"/>
        </w:rPr>
      </w:pPr>
      <w:r>
        <w:rPr>
          <w:rFonts w:hint="eastAsia" w:ascii="仿宋" w:hAnsi="仿宋" w:eastAsia="仿宋"/>
          <w:sz w:val="32"/>
          <w:szCs w:val="32"/>
          <w:lang w:eastAsia="zh-CN"/>
        </w:rPr>
        <w:t>截至</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年12月30日，</w:t>
      </w:r>
      <w:r>
        <w:rPr>
          <w:rFonts w:hint="eastAsia" w:ascii="仿宋" w:hAnsi="仿宋" w:eastAsia="仿宋"/>
          <w:sz w:val="32"/>
          <w:szCs w:val="32"/>
          <w:lang w:eastAsia="zh-CN"/>
        </w:rPr>
        <w:t>弃婴护理费</w:t>
      </w:r>
      <w:r>
        <w:rPr>
          <w:rFonts w:hint="eastAsia" w:ascii="仿宋" w:hAnsi="仿宋" w:eastAsia="仿宋"/>
          <w:sz w:val="32"/>
          <w:szCs w:val="32"/>
        </w:rPr>
        <w:t>资金实际支出为</w:t>
      </w:r>
      <w:r>
        <w:rPr>
          <w:rFonts w:hint="eastAsia" w:ascii="仿宋" w:hAnsi="仿宋" w:eastAsia="仿宋"/>
          <w:sz w:val="32"/>
          <w:szCs w:val="32"/>
          <w:lang w:val="en-US" w:eastAsia="zh-CN"/>
        </w:rPr>
        <w:t>1.31</w:t>
      </w:r>
      <w:r>
        <w:rPr>
          <w:rFonts w:hint="eastAsia" w:ascii="仿宋" w:hAnsi="仿宋" w:eastAsia="仿宋"/>
          <w:sz w:val="32"/>
          <w:szCs w:val="32"/>
        </w:rPr>
        <w:t>万元，主要用于对</w:t>
      </w:r>
      <w:r>
        <w:rPr>
          <w:rFonts w:hint="eastAsia" w:ascii="仿宋" w:hAnsi="仿宋" w:eastAsia="仿宋"/>
          <w:sz w:val="32"/>
          <w:szCs w:val="32"/>
          <w:lang w:eastAsia="zh-CN"/>
        </w:rPr>
        <w:t>弃婴</w:t>
      </w:r>
      <w:r>
        <w:rPr>
          <w:rFonts w:hint="eastAsia" w:ascii="仿宋" w:hAnsi="仿宋" w:eastAsia="仿宋"/>
          <w:sz w:val="32"/>
          <w:szCs w:val="32"/>
        </w:rPr>
        <w:t>进行</w:t>
      </w:r>
      <w:r>
        <w:rPr>
          <w:rFonts w:hint="eastAsia" w:ascii="仿宋" w:hAnsi="仿宋" w:eastAsia="仿宋"/>
          <w:sz w:val="32"/>
          <w:szCs w:val="32"/>
          <w:lang w:eastAsia="zh-CN"/>
        </w:rPr>
        <w:t>专人生活照料及护理，</w:t>
      </w:r>
      <w:r>
        <w:rPr>
          <w:rFonts w:hint="eastAsia" w:ascii="仿宋" w:hAnsi="仿宋" w:eastAsia="仿宋"/>
          <w:sz w:val="32"/>
          <w:szCs w:val="32"/>
        </w:rPr>
        <w:t>支付依据按照救助补助资金使用办法合规合法的进行使用。资金支付与预算相符。</w:t>
      </w:r>
    </w:p>
    <w:p w14:paraId="3251F8E7">
      <w:pPr>
        <w:pStyle w:val="15"/>
        <w:numPr>
          <w:ilvl w:val="0"/>
          <w:numId w:val="0"/>
        </w:numPr>
        <w:ind w:leftChars="0"/>
        <w:rPr>
          <w:rFonts w:hint="eastAsia"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rPr>
        <w:t>项目财务管理情况</w:t>
      </w:r>
    </w:p>
    <w:p w14:paraId="60BD4E38">
      <w:pPr>
        <w:ind w:firstLine="645"/>
        <w:rPr>
          <w:rFonts w:hint="eastAsia" w:ascii="仿宋" w:hAnsi="仿宋" w:eastAsia="仿宋"/>
          <w:sz w:val="32"/>
          <w:szCs w:val="32"/>
        </w:rPr>
      </w:pPr>
      <w:r>
        <w:rPr>
          <w:rFonts w:hint="eastAsia" w:ascii="仿宋" w:hAnsi="仿宋" w:eastAsia="仿宋"/>
          <w:sz w:val="32"/>
          <w:szCs w:val="32"/>
        </w:rPr>
        <w:t>根据省上对流浪乞讨人员救助资金有关规定的要求，</w:t>
      </w:r>
      <w:r>
        <w:rPr>
          <w:rFonts w:hint="eastAsia" w:ascii="仿宋" w:hAnsi="仿宋" w:eastAsia="仿宋"/>
          <w:sz w:val="32"/>
          <w:szCs w:val="32"/>
          <w:lang w:eastAsia="zh-CN"/>
        </w:rPr>
        <w:t>弃婴护理费</w:t>
      </w:r>
      <w:r>
        <w:rPr>
          <w:rFonts w:hint="eastAsia" w:ascii="仿宋" w:hAnsi="仿宋" w:eastAsia="仿宋"/>
          <w:sz w:val="32"/>
          <w:szCs w:val="32"/>
        </w:rPr>
        <w:t>资金项目的使用符合相关财务会计制度，资金的拨付有完整的审批程序和手续，实行专账管理，并按照具体救助的支出项目单独记账，资金不存在挤占、挪用、套取等情况。建立健全流浪乞讨人员救助资金监管机制，定期对补助资金使用情况进行检查，对检查发现的问题及时进行了整改。</w:t>
      </w:r>
    </w:p>
    <w:p w14:paraId="6997C2BB">
      <w:pPr>
        <w:rPr>
          <w:rFonts w:hint="eastAsia" w:ascii="仿宋" w:hAnsi="仿宋" w:eastAsia="仿宋"/>
          <w:sz w:val="32"/>
          <w:szCs w:val="32"/>
          <w:lang w:eastAsia="zh-CN"/>
        </w:rPr>
      </w:pPr>
      <w:r>
        <w:rPr>
          <w:rFonts w:hint="eastAsia" w:ascii="仿宋" w:hAnsi="仿宋" w:eastAsia="仿宋"/>
          <w:sz w:val="32"/>
          <w:szCs w:val="32"/>
          <w:lang w:eastAsia="zh-CN"/>
        </w:rPr>
        <w:t>三、项目实施及管理情况</w:t>
      </w:r>
    </w:p>
    <w:p w14:paraId="39EF17B7">
      <w:pPr>
        <w:pStyle w:val="15"/>
        <w:numPr>
          <w:ilvl w:val="0"/>
          <w:numId w:val="0"/>
        </w:numPr>
        <w:ind w:leftChars="0"/>
        <w:rPr>
          <w:rFonts w:hint="eastAsia"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项目组织</w:t>
      </w:r>
      <w:r>
        <w:rPr>
          <w:rFonts w:hint="eastAsia" w:ascii="仿宋" w:hAnsi="仿宋" w:eastAsia="仿宋"/>
          <w:sz w:val="32"/>
          <w:szCs w:val="32"/>
          <w:lang w:eastAsia="zh-CN"/>
        </w:rPr>
        <w:t>架构及实施流程</w:t>
      </w:r>
    </w:p>
    <w:p w14:paraId="665C6062">
      <w:pPr>
        <w:ind w:firstLine="640"/>
        <w:rPr>
          <w:rFonts w:hint="eastAsia" w:ascii="仿宋" w:hAnsi="仿宋" w:eastAsia="仿宋"/>
          <w:sz w:val="32"/>
          <w:szCs w:val="32"/>
          <w:lang w:eastAsia="zh-CN"/>
        </w:rPr>
      </w:pPr>
      <w:r>
        <w:rPr>
          <w:rFonts w:hint="eastAsia" w:ascii="仿宋" w:hAnsi="仿宋" w:eastAsia="仿宋"/>
          <w:sz w:val="32"/>
          <w:szCs w:val="32"/>
        </w:rPr>
        <w:t>按照省民政厅、财政厅制定的要求，结合实际，细化措施。</w:t>
      </w:r>
      <w:r>
        <w:rPr>
          <w:rFonts w:hint="eastAsia" w:ascii="仿宋" w:hAnsi="仿宋" w:eastAsia="仿宋"/>
          <w:sz w:val="32"/>
          <w:szCs w:val="32"/>
          <w:lang w:eastAsia="zh-CN"/>
        </w:rPr>
        <w:t>根据省上要求制定了流浪乞讨人员救助标准，弃婴护理费标准参照当地的工资标准执行，确保弃婴得到充足的生存条件。对救助管理工作定期开展检查，对检查或抽查发现的问题及时进行整改。</w:t>
      </w:r>
    </w:p>
    <w:p w14:paraId="5B58110F">
      <w:pPr>
        <w:numPr>
          <w:ilvl w:val="0"/>
          <w:numId w:val="0"/>
        </w:numPr>
        <w:ind w:leftChars="0"/>
        <w:rPr>
          <w:rFonts w:hint="eastAsia" w:ascii="仿宋" w:hAnsi="仿宋" w:eastAsia="仿宋"/>
          <w:sz w:val="32"/>
          <w:szCs w:val="32"/>
          <w:lang w:eastAsia="zh-CN"/>
        </w:rPr>
      </w:pPr>
      <w:r>
        <w:rPr>
          <w:rFonts w:hint="eastAsia" w:ascii="仿宋" w:hAnsi="仿宋" w:eastAsia="仿宋"/>
          <w:sz w:val="32"/>
          <w:szCs w:val="32"/>
          <w:lang w:eastAsia="zh-CN"/>
        </w:rPr>
        <w:t>（二）项目管理情况</w:t>
      </w:r>
    </w:p>
    <w:p w14:paraId="71F7BA38">
      <w:pPr>
        <w:numPr>
          <w:ilvl w:val="0"/>
          <w:numId w:val="0"/>
        </w:numPr>
        <w:ind w:leftChars="0" w:firstLine="640"/>
        <w:rPr>
          <w:rFonts w:hint="eastAsia" w:ascii="仿宋" w:hAnsi="仿宋" w:eastAsia="仿宋"/>
          <w:sz w:val="32"/>
          <w:szCs w:val="32"/>
          <w:lang w:val="en-US" w:eastAsia="zh-CN"/>
        </w:rPr>
      </w:pPr>
      <w:r>
        <w:rPr>
          <w:rFonts w:hint="eastAsia" w:ascii="仿宋" w:hAnsi="仿宋" w:eastAsia="仿宋"/>
          <w:sz w:val="32"/>
          <w:szCs w:val="32"/>
          <w:lang w:val="en-US" w:eastAsia="zh-CN"/>
        </w:rPr>
        <w:t>弃婴护理费资金项目严格按照省民政厅、财政厅制定的使用范围，不超标准超范围使用资金。</w:t>
      </w:r>
    </w:p>
    <w:p w14:paraId="07452362">
      <w:pPr>
        <w:numPr>
          <w:ilvl w:val="0"/>
          <w:numId w:val="0"/>
        </w:numPr>
        <w:ind w:leftChars="0"/>
        <w:rPr>
          <w:rFonts w:hint="eastAsia" w:ascii="仿宋" w:hAnsi="仿宋" w:eastAsia="仿宋"/>
          <w:sz w:val="32"/>
          <w:szCs w:val="32"/>
          <w:lang w:val="en-US" w:eastAsia="zh-CN"/>
        </w:rPr>
      </w:pPr>
      <w:r>
        <w:rPr>
          <w:rFonts w:hint="eastAsia" w:ascii="仿宋" w:hAnsi="仿宋" w:eastAsia="仿宋"/>
          <w:sz w:val="32"/>
          <w:szCs w:val="32"/>
          <w:lang w:val="en-US" w:eastAsia="zh-CN"/>
        </w:rPr>
        <w:t>（三）项目监管情况</w:t>
      </w:r>
    </w:p>
    <w:p w14:paraId="07680137">
      <w:pPr>
        <w:numPr>
          <w:ilvl w:val="0"/>
          <w:numId w:val="0"/>
        </w:numPr>
        <w:ind w:leftChars="0" w:firstLine="640"/>
        <w:rPr>
          <w:rFonts w:hint="eastAsia" w:ascii="仿宋" w:hAnsi="仿宋" w:eastAsia="仿宋"/>
          <w:sz w:val="32"/>
          <w:szCs w:val="32"/>
          <w:lang w:val="en-US" w:eastAsia="zh-CN"/>
        </w:rPr>
      </w:pPr>
      <w:r>
        <w:rPr>
          <w:rFonts w:hint="eastAsia" w:ascii="仿宋" w:hAnsi="仿宋" w:eastAsia="仿宋"/>
          <w:sz w:val="32"/>
          <w:szCs w:val="32"/>
          <w:lang w:val="en-US" w:eastAsia="zh-CN"/>
        </w:rPr>
        <w:t>县财政局、民政局对弃婴护理费资金绩效目标实现情况进行监控、确保绩效目标如期实现。</w:t>
      </w:r>
    </w:p>
    <w:p w14:paraId="71A57EA8">
      <w:pPr>
        <w:numPr>
          <w:ilvl w:val="0"/>
          <w:numId w:val="0"/>
        </w:numPr>
        <w:rPr>
          <w:rFonts w:hint="eastAsia" w:ascii="仿宋" w:hAnsi="仿宋" w:eastAsia="仿宋"/>
          <w:sz w:val="32"/>
          <w:szCs w:val="32"/>
          <w:lang w:eastAsia="zh-CN"/>
        </w:rPr>
      </w:pPr>
      <w:r>
        <w:rPr>
          <w:rFonts w:hint="eastAsia" w:ascii="仿宋" w:hAnsi="仿宋" w:eastAsia="仿宋"/>
          <w:sz w:val="32"/>
          <w:szCs w:val="32"/>
          <w:lang w:eastAsia="zh-CN"/>
        </w:rPr>
        <w:t>四、项目绩效情况</w:t>
      </w:r>
    </w:p>
    <w:p w14:paraId="6324A734">
      <w:pPr>
        <w:numPr>
          <w:ilvl w:val="0"/>
          <w:numId w:val="0"/>
        </w:numPr>
        <w:rPr>
          <w:rFonts w:hint="eastAsia" w:ascii="仿宋" w:hAnsi="仿宋" w:eastAsia="仿宋"/>
          <w:sz w:val="32"/>
          <w:szCs w:val="32"/>
          <w:lang w:eastAsia="zh-CN"/>
        </w:rPr>
      </w:pPr>
      <w:r>
        <w:rPr>
          <w:rFonts w:hint="eastAsia" w:ascii="仿宋" w:hAnsi="仿宋" w:eastAsia="仿宋"/>
          <w:sz w:val="32"/>
          <w:szCs w:val="32"/>
          <w:lang w:eastAsia="zh-CN"/>
        </w:rPr>
        <w:t>（一）项目完成情况</w:t>
      </w:r>
    </w:p>
    <w:p w14:paraId="59CB0434">
      <w:pPr>
        <w:numPr>
          <w:ilvl w:val="0"/>
          <w:numId w:val="0"/>
        </w:numPr>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截至目前，我单位已经对送到救助站的1名弃婴进行了专人护理救助，确保每名弃婴都有专人进行护理，已完成全年任务的100%。</w:t>
      </w:r>
    </w:p>
    <w:p w14:paraId="243D4D6E">
      <w:pPr>
        <w:numPr>
          <w:ilvl w:val="0"/>
          <w:numId w:val="0"/>
        </w:numPr>
        <w:ind w:leftChars="0"/>
        <w:rPr>
          <w:rFonts w:hint="eastAsia" w:ascii="仿宋" w:hAnsi="仿宋" w:eastAsia="仿宋"/>
          <w:sz w:val="32"/>
          <w:szCs w:val="32"/>
          <w:lang w:val="en-US" w:eastAsia="zh-CN"/>
        </w:rPr>
      </w:pPr>
      <w:r>
        <w:rPr>
          <w:rFonts w:hint="eastAsia" w:ascii="仿宋" w:hAnsi="仿宋" w:eastAsia="仿宋"/>
          <w:sz w:val="32"/>
          <w:szCs w:val="32"/>
          <w:lang w:val="en-US" w:eastAsia="zh-CN"/>
        </w:rPr>
        <w:t>（二）项目效益情况</w:t>
      </w:r>
    </w:p>
    <w:p w14:paraId="7DC4ABD0">
      <w:pPr>
        <w:numPr>
          <w:ilvl w:val="0"/>
          <w:numId w:val="0"/>
        </w:numPr>
        <w:ind w:leftChars="0" w:firstLine="640"/>
        <w:rPr>
          <w:rFonts w:hint="eastAsia" w:ascii="仿宋" w:hAnsi="仿宋" w:eastAsia="仿宋"/>
          <w:sz w:val="32"/>
          <w:szCs w:val="32"/>
          <w:lang w:val="en-US" w:eastAsia="zh-CN"/>
        </w:rPr>
      </w:pPr>
      <w:r>
        <w:rPr>
          <w:rFonts w:hint="eastAsia" w:ascii="仿宋" w:hAnsi="仿宋" w:eastAsia="仿宋"/>
          <w:sz w:val="32"/>
          <w:szCs w:val="32"/>
          <w:lang w:val="en-US" w:eastAsia="zh-CN"/>
        </w:rPr>
        <w:t>弃婴护理费资金项目的社会效益指标是没有发生因弃婴遭人遗弃无人管理而发生重大事件；可持续影响是弃婴到及时救助持续发挥效益；无弃婴满意度</w:t>
      </w:r>
      <w:r>
        <w:rPr>
          <w:rFonts w:hint="default" w:ascii="Arial" w:hAnsi="Arial" w:eastAsia="仿宋" w:cs="Arial"/>
          <w:sz w:val="32"/>
          <w:szCs w:val="32"/>
          <w:lang w:val="en-US" w:eastAsia="zh-CN"/>
        </w:rPr>
        <w:t>≥</w:t>
      </w:r>
      <w:r>
        <w:rPr>
          <w:rFonts w:hint="eastAsia" w:ascii="仿宋" w:hAnsi="仿宋" w:eastAsia="仿宋"/>
          <w:sz w:val="32"/>
          <w:szCs w:val="32"/>
          <w:lang w:val="en-US" w:eastAsia="zh-CN"/>
        </w:rPr>
        <w:t>95%。</w:t>
      </w:r>
    </w:p>
    <w:p w14:paraId="097135E8">
      <w:pPr>
        <w:numPr>
          <w:ilvl w:val="0"/>
          <w:numId w:val="0"/>
        </w:numPr>
        <w:ind w:leftChars="0"/>
        <w:rPr>
          <w:rFonts w:hint="eastAsia" w:ascii="仿宋" w:hAnsi="仿宋" w:eastAsia="仿宋"/>
          <w:sz w:val="32"/>
          <w:szCs w:val="32"/>
          <w:lang w:val="en-US" w:eastAsia="zh-CN"/>
        </w:rPr>
      </w:pPr>
      <w:r>
        <w:rPr>
          <w:rFonts w:hint="eastAsia" w:ascii="仿宋" w:hAnsi="仿宋" w:eastAsia="仿宋"/>
          <w:sz w:val="32"/>
          <w:szCs w:val="32"/>
          <w:lang w:val="en-US" w:eastAsia="zh-CN"/>
        </w:rPr>
        <w:t>五、评价结论及建议</w:t>
      </w:r>
    </w:p>
    <w:p w14:paraId="5E034E46">
      <w:pPr>
        <w:numPr>
          <w:ilvl w:val="0"/>
          <w:numId w:val="0"/>
        </w:numPr>
        <w:rPr>
          <w:rFonts w:hint="eastAsia" w:ascii="仿宋" w:hAnsi="仿宋" w:eastAsia="仿宋"/>
          <w:sz w:val="32"/>
          <w:szCs w:val="32"/>
          <w:lang w:val="en-US" w:eastAsia="zh-CN"/>
        </w:rPr>
      </w:pPr>
      <w:r>
        <w:rPr>
          <w:rFonts w:hint="eastAsia" w:ascii="仿宋" w:hAnsi="仿宋" w:eastAsia="仿宋"/>
          <w:sz w:val="32"/>
          <w:szCs w:val="32"/>
          <w:lang w:val="en-US" w:eastAsia="zh-CN"/>
        </w:rPr>
        <w:t>（一）评价结论</w:t>
      </w:r>
    </w:p>
    <w:p w14:paraId="3D6DEB25">
      <w:pPr>
        <w:numPr>
          <w:ilvl w:val="0"/>
          <w:numId w:val="0"/>
        </w:numPr>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弃婴护理费资金项目的实施，保障了弃婴的基本生存问题，保障了社会的安定团结。</w:t>
      </w:r>
    </w:p>
    <w:p w14:paraId="2EEF3AF9">
      <w:pPr>
        <w:numPr>
          <w:ilvl w:val="0"/>
          <w:numId w:val="0"/>
        </w:numPr>
        <w:rPr>
          <w:rFonts w:hint="eastAsia" w:ascii="仿宋" w:hAnsi="仿宋" w:eastAsia="仿宋"/>
          <w:sz w:val="32"/>
          <w:szCs w:val="32"/>
          <w:lang w:val="en-US" w:eastAsia="zh-CN"/>
        </w:rPr>
      </w:pPr>
      <w:r>
        <w:rPr>
          <w:rFonts w:hint="eastAsia" w:ascii="仿宋" w:hAnsi="仿宋" w:eastAsia="仿宋"/>
          <w:sz w:val="32"/>
          <w:szCs w:val="32"/>
          <w:lang w:val="en-US" w:eastAsia="zh-CN"/>
        </w:rPr>
        <w:t>（二）存在的问题</w:t>
      </w:r>
    </w:p>
    <w:p w14:paraId="1E9A29D0">
      <w:pPr>
        <w:numPr>
          <w:ilvl w:val="0"/>
          <w:numId w:val="0"/>
        </w:numPr>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1.“职业乞讨”现象依然存在。职业乞讨问题是一个社会问题，需要引起我们的重视，职业乞讨者很多都是成帮结伙，强讨硬要，这些职业乞丐是把乞讨作为长期的生活方式的流浪乞讨者，终年在城市里借乞讨生财，由于救助会影响他们的乞讨收入，多数不愿意接受救助，更不愿意返回原籍。救助管理站作为一个救助性的临时服务机构，实行自愿救助的原则，没有执法权。</w:t>
      </w:r>
    </w:p>
    <w:p w14:paraId="0720081B">
      <w:pPr>
        <w:numPr>
          <w:ilvl w:val="0"/>
          <w:numId w:val="0"/>
        </w:numPr>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2.救助对象身份甄别难度大。由于救助人员的多样性，在实际操作过程中，因多种原因求助人员无法提供完整的身份信息，有些没有身份证，有些连自己的名字都不知道，更不知道家庭住址，加上求助人员以口述为依据，救助对象流出地遍布全国各地，导致甄别核对工作量大。</w:t>
      </w:r>
    </w:p>
    <w:p w14:paraId="0C74C945">
      <w:pPr>
        <w:numPr>
          <w:ilvl w:val="0"/>
          <w:numId w:val="0"/>
        </w:numPr>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3.跑站、骗助形势严峻。由于救助站可以为求助人员提供返乡车票，一些人利用政策上的漏洞，往返于各个救助站之间骗助、骗票倒票，为个人牟利，成为生财之道，逐渐形成专业化、团伙化、多地化等特点。</w:t>
      </w:r>
    </w:p>
    <w:p w14:paraId="0C346AC0">
      <w:pPr>
        <w:numPr>
          <w:ilvl w:val="0"/>
          <w:numId w:val="0"/>
        </w:numPr>
        <w:rPr>
          <w:rFonts w:hint="eastAsia" w:ascii="仿宋" w:hAnsi="仿宋" w:eastAsia="仿宋"/>
          <w:sz w:val="32"/>
          <w:szCs w:val="32"/>
          <w:lang w:val="en-US" w:eastAsia="zh-CN"/>
        </w:rPr>
      </w:pPr>
      <w:r>
        <w:rPr>
          <w:rFonts w:hint="eastAsia" w:ascii="仿宋" w:hAnsi="仿宋" w:eastAsia="仿宋"/>
          <w:sz w:val="32"/>
          <w:szCs w:val="32"/>
          <w:lang w:val="en-US" w:eastAsia="zh-CN"/>
        </w:rPr>
        <w:t>（三）相关建议</w:t>
      </w:r>
    </w:p>
    <w:p w14:paraId="4A038C3B">
      <w:pPr>
        <w:numPr>
          <w:ilvl w:val="0"/>
          <w:numId w:val="0"/>
        </w:numPr>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1.全方位加强救助工作宣传报道力度。救助站要主动发制救助信息，尽量大可能帮助受助人员返回家庭。完善舆情应急预案，学会主动沟通、积极宣传。</w:t>
      </w:r>
    </w:p>
    <w:p w14:paraId="70A8921E">
      <w:pPr>
        <w:numPr>
          <w:ilvl w:val="0"/>
          <w:numId w:val="0"/>
        </w:numPr>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2.加强救助人员的身份查询及录亲工作。一是建立身份查询机制。通过受助人员指纹、体貌特征等线索，及时查询比对全国救助管理信息系统中的寻亲信息。对疑似走失、被遗弃、被拐卖的流浪乞讨人员，通过询问及走访群众、比对公安机关人中信息管理系统，核查其身份信息。二是建产寻亲服务机制。对于经快速查询未能确认身份的受助人员，我站将在其入站后24小时内通过传媒等形式发布寻亲公告，并在其入站后7个工作日内报请公安机关采集DNA数据。三是建立身份查询长效机制。对于滞留人员，继续开展手托养机构协助查询工作。</w:t>
      </w:r>
    </w:p>
    <w:p w14:paraId="4DB12FE6">
      <w:pPr>
        <w:numPr>
          <w:ilvl w:val="0"/>
          <w:numId w:val="0"/>
        </w:numPr>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3.严惩一些人利用政策上的漏洞，住返于各个救助站之间，骗助、骗票倒卖，牟利行为，保障我站救助工作有效的开展。</w:t>
      </w:r>
    </w:p>
    <w:p w14:paraId="7A1D753B">
      <w:pPr>
        <w:numPr>
          <w:ilvl w:val="0"/>
          <w:numId w:val="0"/>
        </w:numPr>
        <w:ind w:firstLine="640"/>
        <w:rPr>
          <w:rFonts w:hint="eastAsia" w:ascii="仿宋" w:hAnsi="仿宋" w:eastAsia="仿宋"/>
          <w:sz w:val="32"/>
          <w:szCs w:val="32"/>
          <w:lang w:val="en-US" w:eastAsia="zh-CN"/>
        </w:rPr>
      </w:pPr>
    </w:p>
    <w:p w14:paraId="6E543CEC">
      <w:pPr>
        <w:numPr>
          <w:ilvl w:val="0"/>
          <w:numId w:val="0"/>
        </w:numPr>
        <w:ind w:firstLine="640"/>
        <w:rPr>
          <w:rFonts w:hint="eastAsia" w:ascii="仿宋" w:hAnsi="仿宋" w:eastAsia="仿宋"/>
          <w:sz w:val="32"/>
          <w:szCs w:val="32"/>
          <w:lang w:val="en-US" w:eastAsia="zh-CN"/>
        </w:rPr>
      </w:pPr>
    </w:p>
    <w:p w14:paraId="507E7B0C">
      <w:pPr>
        <w:numPr>
          <w:ilvl w:val="0"/>
          <w:numId w:val="0"/>
        </w:numPr>
        <w:ind w:firstLine="640"/>
        <w:rPr>
          <w:rFonts w:hint="eastAsia" w:ascii="仿宋" w:hAnsi="仿宋" w:eastAsia="仿宋"/>
          <w:sz w:val="32"/>
          <w:szCs w:val="32"/>
          <w:lang w:val="en-US" w:eastAsia="zh-CN"/>
        </w:rPr>
      </w:pPr>
    </w:p>
    <w:p w14:paraId="2A52349A">
      <w:pPr>
        <w:jc w:val="center"/>
        <w:rPr>
          <w:rFonts w:hint="eastAsia" w:ascii="仿宋" w:hAnsi="仿宋" w:eastAsia="仿宋"/>
          <w:b/>
          <w:sz w:val="36"/>
          <w:szCs w:val="36"/>
        </w:rPr>
      </w:pPr>
      <w:r>
        <w:rPr>
          <w:rFonts w:hint="eastAsia" w:ascii="仿宋" w:hAnsi="仿宋" w:eastAsia="仿宋"/>
          <w:b/>
          <w:sz w:val="36"/>
          <w:szCs w:val="36"/>
        </w:rPr>
        <w:t>岳池县社会救助福利中心</w:t>
      </w:r>
      <w:r>
        <w:rPr>
          <w:rFonts w:ascii="仿宋" w:hAnsi="仿宋" w:eastAsia="仿宋"/>
          <w:b/>
          <w:sz w:val="36"/>
          <w:szCs w:val="36"/>
        </w:rPr>
        <w:t>202</w:t>
      </w:r>
      <w:r>
        <w:rPr>
          <w:rFonts w:hint="eastAsia" w:ascii="仿宋" w:hAnsi="仿宋" w:eastAsia="仿宋"/>
          <w:b/>
          <w:sz w:val="36"/>
          <w:szCs w:val="36"/>
          <w:lang w:val="en-US" w:eastAsia="zh-CN"/>
        </w:rPr>
        <w:t>2</w:t>
      </w:r>
      <w:r>
        <w:rPr>
          <w:rFonts w:ascii="仿宋" w:hAnsi="仿宋" w:eastAsia="仿宋"/>
          <w:b/>
          <w:sz w:val="36"/>
          <w:szCs w:val="36"/>
        </w:rPr>
        <w:t>年</w:t>
      </w:r>
    </w:p>
    <w:p w14:paraId="47A3FE0C">
      <w:pPr>
        <w:jc w:val="center"/>
        <w:rPr>
          <w:rFonts w:hint="eastAsia" w:ascii="仿宋" w:hAnsi="仿宋" w:eastAsia="仿宋"/>
          <w:b/>
          <w:sz w:val="36"/>
          <w:szCs w:val="36"/>
        </w:rPr>
      </w:pPr>
      <w:r>
        <w:rPr>
          <w:rFonts w:hint="eastAsia" w:ascii="仿宋" w:hAnsi="仿宋" w:eastAsia="仿宋"/>
          <w:b/>
          <w:sz w:val="36"/>
          <w:szCs w:val="36"/>
          <w:lang w:eastAsia="zh-CN"/>
        </w:rPr>
        <w:t>救助对象医疗费</w:t>
      </w:r>
      <w:r>
        <w:rPr>
          <w:rFonts w:hint="eastAsia" w:ascii="仿宋" w:hAnsi="仿宋" w:eastAsia="仿宋"/>
          <w:b/>
          <w:sz w:val="36"/>
          <w:szCs w:val="36"/>
        </w:rPr>
        <w:t>项目支出绩效自评报告</w:t>
      </w:r>
    </w:p>
    <w:p w14:paraId="3EC4D3FB">
      <w:pPr>
        <w:jc w:val="center"/>
        <w:rPr>
          <w:rFonts w:hint="eastAsia" w:ascii="仿宋" w:hAnsi="仿宋" w:eastAsia="仿宋"/>
          <w:b/>
          <w:sz w:val="36"/>
          <w:szCs w:val="36"/>
        </w:rPr>
      </w:pPr>
    </w:p>
    <w:p w14:paraId="104B883F">
      <w:pPr>
        <w:ind w:firstLine="640" w:firstLineChars="200"/>
        <w:rPr>
          <w:rFonts w:hint="eastAsia" w:ascii="仿宋" w:hAnsi="仿宋" w:eastAsia="仿宋"/>
          <w:sz w:val="32"/>
          <w:szCs w:val="32"/>
        </w:rPr>
      </w:pPr>
      <w:r>
        <w:rPr>
          <w:rFonts w:hint="eastAsia" w:ascii="仿宋" w:hAnsi="仿宋" w:eastAsia="仿宋"/>
          <w:sz w:val="32"/>
          <w:szCs w:val="32"/>
        </w:rPr>
        <w:t>为进一步管理和使用好财政资金，提高流浪乞讨人员救助补助资金使用效益和项目管理水平，根据《财政部关于印发&lt;财政支出绩效评价管理暂行办法&gt;的通知》，我中心专门成立了绩效评价工作小姐，对202</w:t>
      </w:r>
      <w:r>
        <w:rPr>
          <w:rFonts w:hint="eastAsia" w:ascii="仿宋" w:hAnsi="仿宋" w:eastAsia="仿宋"/>
          <w:sz w:val="32"/>
          <w:szCs w:val="32"/>
          <w:lang w:val="en-US" w:eastAsia="zh-CN"/>
        </w:rPr>
        <w:t>2</w:t>
      </w:r>
      <w:r>
        <w:rPr>
          <w:rFonts w:hint="eastAsia" w:ascii="仿宋" w:hAnsi="仿宋" w:eastAsia="仿宋"/>
          <w:sz w:val="32"/>
          <w:szCs w:val="32"/>
        </w:rPr>
        <w:t>年度</w:t>
      </w:r>
      <w:r>
        <w:rPr>
          <w:rFonts w:hint="eastAsia" w:ascii="仿宋" w:hAnsi="仿宋" w:eastAsia="仿宋"/>
          <w:sz w:val="32"/>
          <w:szCs w:val="32"/>
          <w:lang w:eastAsia="zh-CN"/>
        </w:rPr>
        <w:t>救助对象医疗费</w:t>
      </w:r>
      <w:r>
        <w:rPr>
          <w:rFonts w:hint="eastAsia" w:ascii="仿宋" w:hAnsi="仿宋" w:eastAsia="仿宋"/>
          <w:sz w:val="32"/>
          <w:szCs w:val="32"/>
        </w:rPr>
        <w:t>资金使用与管理开展了绩效评价，绩效评价自评报告如下：</w:t>
      </w:r>
    </w:p>
    <w:p w14:paraId="51C8BBF0">
      <w:pPr>
        <w:pStyle w:val="15"/>
        <w:numPr>
          <w:ilvl w:val="0"/>
          <w:numId w:val="14"/>
        </w:numPr>
        <w:ind w:firstLineChars="0"/>
        <w:rPr>
          <w:rFonts w:hint="eastAsia" w:ascii="仿宋" w:hAnsi="仿宋" w:eastAsia="仿宋"/>
          <w:sz w:val="32"/>
          <w:szCs w:val="32"/>
        </w:rPr>
      </w:pPr>
      <w:r>
        <w:rPr>
          <w:rFonts w:hint="eastAsia" w:ascii="仿宋" w:hAnsi="仿宋" w:eastAsia="仿宋"/>
          <w:sz w:val="32"/>
          <w:szCs w:val="32"/>
        </w:rPr>
        <w:t>项目概况</w:t>
      </w:r>
    </w:p>
    <w:p w14:paraId="000C6CD7">
      <w:pPr>
        <w:pStyle w:val="15"/>
        <w:numPr>
          <w:ilvl w:val="0"/>
          <w:numId w:val="0"/>
        </w:numPr>
        <w:ind w:leftChars="0"/>
        <w:rPr>
          <w:rFonts w:hint="eastAsia" w:ascii="仿宋" w:hAnsi="仿宋" w:eastAsia="仿宋"/>
          <w:sz w:val="32"/>
          <w:szCs w:val="32"/>
          <w:lang w:eastAsia="zh-CN"/>
        </w:rPr>
      </w:pPr>
      <w:r>
        <w:rPr>
          <w:rFonts w:hint="eastAsia" w:ascii="仿宋" w:hAnsi="仿宋" w:eastAsia="仿宋"/>
          <w:sz w:val="32"/>
          <w:szCs w:val="32"/>
          <w:lang w:eastAsia="zh-CN"/>
        </w:rPr>
        <w:t>（一）项目基本情况</w:t>
      </w:r>
    </w:p>
    <w:p w14:paraId="7E81C551">
      <w:pPr>
        <w:ind w:left="720"/>
        <w:rPr>
          <w:rFonts w:hint="eastAsia" w:ascii="仿宋" w:hAnsi="仿宋" w:eastAsia="仿宋"/>
          <w:sz w:val="32"/>
          <w:szCs w:val="32"/>
        </w:rPr>
      </w:pPr>
      <w:r>
        <w:rPr>
          <w:rFonts w:hint="eastAsia" w:ascii="仿宋" w:hAnsi="仿宋" w:eastAsia="仿宋"/>
          <w:sz w:val="32"/>
          <w:szCs w:val="32"/>
        </w:rPr>
        <w:t>救助站对流浪乞讨人员的救助是一项临时性社会救助</w:t>
      </w:r>
    </w:p>
    <w:p w14:paraId="16870409">
      <w:pPr>
        <w:rPr>
          <w:rFonts w:hint="eastAsia" w:ascii="仿宋" w:hAnsi="仿宋" w:eastAsia="仿宋"/>
          <w:sz w:val="32"/>
          <w:szCs w:val="32"/>
        </w:rPr>
      </w:pPr>
      <w:r>
        <w:rPr>
          <w:rFonts w:hint="eastAsia" w:ascii="仿宋" w:hAnsi="仿宋" w:eastAsia="仿宋"/>
          <w:sz w:val="32"/>
          <w:szCs w:val="32"/>
        </w:rPr>
        <w:t>措施。根据《中央财政流浪乞讨人员救助补助资金管理办法》（财社【2014】71号）的要求，救助站对202</w:t>
      </w:r>
      <w:r>
        <w:rPr>
          <w:rFonts w:hint="eastAsia" w:ascii="仿宋" w:hAnsi="仿宋" w:eastAsia="仿宋"/>
          <w:sz w:val="32"/>
          <w:szCs w:val="32"/>
          <w:lang w:val="en-US" w:eastAsia="zh-CN"/>
        </w:rPr>
        <w:t>2</w:t>
      </w:r>
      <w:r>
        <w:rPr>
          <w:rFonts w:hint="eastAsia" w:ascii="仿宋" w:hAnsi="仿宋" w:eastAsia="仿宋"/>
          <w:sz w:val="32"/>
          <w:szCs w:val="32"/>
        </w:rPr>
        <w:t>年流浪乞讨人员救助补助专项资金实行专款专用，并将专项资金用于生活无着的流浪乞讨人员主动救助、生活救助、医疗救治、教育矫治、返乡救助、临时安置以及未成年人社会保护等救助保护工作。</w:t>
      </w:r>
    </w:p>
    <w:p w14:paraId="2F9B8132">
      <w:pPr>
        <w:ind w:firstLine="645"/>
        <w:rPr>
          <w:rFonts w:hint="eastAsia" w:ascii="仿宋" w:hAnsi="仿宋" w:eastAsia="仿宋"/>
          <w:sz w:val="32"/>
          <w:szCs w:val="32"/>
        </w:rPr>
      </w:pPr>
      <w:r>
        <w:rPr>
          <w:rFonts w:hint="eastAsia" w:ascii="仿宋" w:hAnsi="仿宋" w:eastAsia="仿宋"/>
          <w:sz w:val="32"/>
          <w:szCs w:val="32"/>
        </w:rPr>
        <w:t>做好城市流浪乞讨人员的救助和管理这项工作，是落实科学发展观和构建社会主义和谐社会的必然要求，也是解决流浪乞讨人员基本生存问题的重要举措。对提升城市形象、维护社会稳定、促进社会和谐发展起到了关键性的作用。做好流乞人员的</w:t>
      </w:r>
      <w:r>
        <w:rPr>
          <w:rFonts w:hint="eastAsia" w:ascii="仿宋" w:hAnsi="仿宋" w:eastAsia="仿宋"/>
          <w:sz w:val="32"/>
          <w:szCs w:val="32"/>
          <w:lang w:eastAsia="zh-CN"/>
        </w:rPr>
        <w:t>医疗</w:t>
      </w:r>
      <w:r>
        <w:rPr>
          <w:rFonts w:hint="eastAsia" w:ascii="仿宋" w:hAnsi="仿宋" w:eastAsia="仿宋"/>
          <w:sz w:val="32"/>
          <w:szCs w:val="32"/>
        </w:rPr>
        <w:t>保障对社会稳定起到了至关重要的作用。</w:t>
      </w:r>
    </w:p>
    <w:p w14:paraId="3D5C39BD">
      <w:pPr>
        <w:numPr>
          <w:ilvl w:val="0"/>
          <w:numId w:val="0"/>
        </w:numPr>
        <w:ind w:leftChars="0"/>
        <w:rPr>
          <w:rFonts w:hint="eastAsia" w:ascii="仿宋" w:hAnsi="仿宋" w:eastAsia="仿宋"/>
          <w:sz w:val="32"/>
          <w:szCs w:val="32"/>
          <w:lang w:eastAsia="zh-CN"/>
        </w:rPr>
      </w:pPr>
      <w:r>
        <w:rPr>
          <w:rFonts w:hint="eastAsia" w:ascii="仿宋" w:hAnsi="仿宋" w:eastAsia="仿宋"/>
          <w:sz w:val="32"/>
          <w:szCs w:val="32"/>
          <w:lang w:eastAsia="zh-CN"/>
        </w:rPr>
        <w:t>（二）项目绩效目标</w:t>
      </w:r>
    </w:p>
    <w:p w14:paraId="688A4420">
      <w:pPr>
        <w:ind w:firstLine="645"/>
        <w:rPr>
          <w:rFonts w:hint="eastAsia" w:ascii="仿宋" w:hAnsi="仿宋" w:eastAsia="仿宋"/>
          <w:sz w:val="32"/>
          <w:szCs w:val="32"/>
          <w:lang w:eastAsia="zh-CN"/>
        </w:rPr>
      </w:pPr>
      <w:r>
        <w:rPr>
          <w:rFonts w:hint="eastAsia" w:ascii="仿宋" w:hAnsi="仿宋" w:eastAsia="仿宋"/>
          <w:sz w:val="32"/>
          <w:szCs w:val="32"/>
          <w:lang w:eastAsia="zh-CN"/>
        </w:rPr>
        <w:t>救助对象医疗费</w:t>
      </w:r>
      <w:r>
        <w:rPr>
          <w:rFonts w:hint="eastAsia" w:ascii="仿宋" w:hAnsi="仿宋" w:eastAsia="仿宋"/>
          <w:sz w:val="32"/>
          <w:szCs w:val="32"/>
        </w:rPr>
        <w:t>项目的主要内容是完成对</w:t>
      </w:r>
      <w:r>
        <w:rPr>
          <w:rFonts w:hint="eastAsia" w:ascii="仿宋" w:hAnsi="仿宋" w:eastAsia="仿宋"/>
          <w:sz w:val="32"/>
          <w:szCs w:val="32"/>
          <w:lang w:eastAsia="zh-CN"/>
        </w:rPr>
        <w:t>流浪乞讨人员进行医疗救冶。</w:t>
      </w:r>
    </w:p>
    <w:p w14:paraId="1820DCDC">
      <w:pPr>
        <w:ind w:firstLine="645"/>
        <w:rPr>
          <w:rFonts w:hint="eastAsia" w:ascii="仿宋" w:hAnsi="仿宋" w:eastAsia="仿宋"/>
          <w:sz w:val="32"/>
          <w:szCs w:val="32"/>
        </w:rPr>
      </w:pPr>
      <w:r>
        <w:rPr>
          <w:rFonts w:hint="eastAsia" w:ascii="仿宋" w:hAnsi="仿宋" w:eastAsia="仿宋"/>
          <w:sz w:val="32"/>
          <w:szCs w:val="32"/>
          <w:lang w:eastAsia="zh-CN"/>
        </w:rPr>
        <w:t>救助对象医疗费</w:t>
      </w:r>
      <w:r>
        <w:rPr>
          <w:rFonts w:hint="eastAsia" w:ascii="仿宋" w:hAnsi="仿宋" w:eastAsia="仿宋"/>
          <w:sz w:val="32"/>
          <w:szCs w:val="32"/>
        </w:rPr>
        <w:t>资金项目预计全年需要</w:t>
      </w:r>
      <w:r>
        <w:rPr>
          <w:rFonts w:hint="eastAsia" w:ascii="仿宋" w:hAnsi="仿宋" w:eastAsia="仿宋"/>
          <w:sz w:val="32"/>
          <w:szCs w:val="32"/>
          <w:lang w:eastAsia="zh-CN"/>
        </w:rPr>
        <w:t>进行医疗救助人数为</w:t>
      </w:r>
      <w:r>
        <w:rPr>
          <w:rFonts w:hint="eastAsia" w:ascii="仿宋" w:hAnsi="仿宋" w:eastAsia="仿宋"/>
          <w:sz w:val="32"/>
          <w:szCs w:val="32"/>
          <w:lang w:val="en-US" w:eastAsia="zh-CN"/>
        </w:rPr>
        <w:t>200人次，人均医疗费用为85元/人，</w:t>
      </w:r>
      <w:r>
        <w:rPr>
          <w:rFonts w:hint="eastAsia" w:ascii="仿宋" w:hAnsi="仿宋" w:eastAsia="仿宋"/>
          <w:sz w:val="32"/>
          <w:szCs w:val="32"/>
        </w:rPr>
        <w:t>要达到的效益目标是让</w:t>
      </w:r>
      <w:r>
        <w:rPr>
          <w:rFonts w:hint="eastAsia" w:ascii="仿宋" w:hAnsi="仿宋" w:eastAsia="仿宋"/>
          <w:sz w:val="32"/>
          <w:szCs w:val="32"/>
          <w:lang w:eastAsia="zh-CN"/>
        </w:rPr>
        <w:t>生病的流浪乞讨人员得到医疗救治</w:t>
      </w:r>
      <w:r>
        <w:rPr>
          <w:rFonts w:hint="eastAsia" w:ascii="仿宋" w:hAnsi="仿宋" w:eastAsia="仿宋"/>
          <w:sz w:val="32"/>
          <w:szCs w:val="32"/>
        </w:rPr>
        <w:t>，不发生因</w:t>
      </w:r>
      <w:r>
        <w:rPr>
          <w:rFonts w:hint="eastAsia" w:ascii="仿宋" w:hAnsi="仿宋" w:eastAsia="仿宋"/>
          <w:sz w:val="32"/>
          <w:szCs w:val="32"/>
          <w:lang w:eastAsia="zh-CN"/>
        </w:rPr>
        <w:t>流乞人员没有得到及进救治而</w:t>
      </w:r>
      <w:r>
        <w:rPr>
          <w:rFonts w:hint="eastAsia" w:ascii="仿宋" w:hAnsi="仿宋" w:eastAsia="仿宋"/>
          <w:sz w:val="32"/>
          <w:szCs w:val="32"/>
        </w:rPr>
        <w:t>发生的重大事情。</w:t>
      </w:r>
      <w:r>
        <w:rPr>
          <w:rFonts w:hint="eastAsia" w:ascii="仿宋" w:hAnsi="仿宋" w:eastAsia="仿宋"/>
          <w:sz w:val="32"/>
          <w:szCs w:val="32"/>
          <w:lang w:eastAsia="zh-CN"/>
        </w:rPr>
        <w:t>流浪乞讨人员中救助医疗费</w:t>
      </w:r>
      <w:r>
        <w:rPr>
          <w:rFonts w:hint="eastAsia" w:ascii="仿宋" w:hAnsi="仿宋" w:eastAsia="仿宋"/>
          <w:sz w:val="32"/>
          <w:szCs w:val="32"/>
        </w:rPr>
        <w:t>项目满意度达到95%以上。</w:t>
      </w:r>
    </w:p>
    <w:p w14:paraId="2088A240">
      <w:pPr>
        <w:numPr>
          <w:ilvl w:val="0"/>
          <w:numId w:val="0"/>
        </w:numPr>
        <w:ind w:leftChars="0"/>
        <w:rPr>
          <w:rFonts w:hint="eastAsia" w:ascii="仿宋" w:hAnsi="仿宋" w:eastAsia="仿宋"/>
          <w:sz w:val="32"/>
          <w:szCs w:val="32"/>
          <w:lang w:eastAsia="zh-CN"/>
        </w:rPr>
      </w:pPr>
      <w:r>
        <w:rPr>
          <w:rFonts w:hint="eastAsia" w:ascii="仿宋" w:hAnsi="仿宋" w:eastAsia="仿宋"/>
          <w:sz w:val="32"/>
          <w:szCs w:val="32"/>
          <w:lang w:eastAsia="zh-CN"/>
        </w:rPr>
        <w:t>（三）项目自评步骤及方法</w:t>
      </w:r>
    </w:p>
    <w:p w14:paraId="705EE1C8">
      <w:pPr>
        <w:numPr>
          <w:ilvl w:val="0"/>
          <w:numId w:val="0"/>
        </w:numPr>
        <w:ind w:leftChars="0" w:firstLine="640"/>
        <w:rPr>
          <w:rFonts w:hint="eastAsia" w:ascii="仿宋" w:hAnsi="仿宋" w:eastAsia="仿宋"/>
          <w:sz w:val="32"/>
          <w:szCs w:val="32"/>
          <w:lang w:val="en-US" w:eastAsia="zh-CN"/>
        </w:rPr>
      </w:pPr>
      <w:r>
        <w:rPr>
          <w:rFonts w:hint="eastAsia" w:ascii="仿宋" w:hAnsi="仿宋" w:eastAsia="仿宋"/>
          <w:sz w:val="32"/>
          <w:szCs w:val="32"/>
          <w:lang w:val="en-US" w:eastAsia="zh-CN"/>
        </w:rPr>
        <w:t>救助对象医疗费项目绩效自评以单位自评为主、上级部门抽评为辅的方式。</w:t>
      </w:r>
    </w:p>
    <w:p w14:paraId="72C66211">
      <w:pPr>
        <w:numPr>
          <w:ilvl w:val="0"/>
          <w:numId w:val="0"/>
        </w:numPr>
        <w:rPr>
          <w:rFonts w:hint="default" w:ascii="仿宋" w:hAnsi="仿宋" w:eastAsia="仿宋"/>
          <w:sz w:val="32"/>
          <w:szCs w:val="32"/>
          <w:lang w:val="en-US" w:eastAsia="zh-CN"/>
        </w:rPr>
      </w:pPr>
      <w:r>
        <w:rPr>
          <w:rFonts w:hint="eastAsia" w:ascii="仿宋" w:hAnsi="仿宋" w:eastAsia="仿宋"/>
          <w:sz w:val="32"/>
          <w:szCs w:val="32"/>
          <w:lang w:val="en-US" w:eastAsia="zh-CN"/>
        </w:rPr>
        <w:t>二、项目资金申报及使用情况</w:t>
      </w:r>
    </w:p>
    <w:p w14:paraId="10007F3C">
      <w:pPr>
        <w:pStyle w:val="15"/>
        <w:numPr>
          <w:ilvl w:val="0"/>
          <w:numId w:val="0"/>
        </w:numPr>
        <w:ind w:leftChars="0"/>
        <w:rPr>
          <w:rFonts w:hint="eastAsia"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项目资金申报及批复情况</w:t>
      </w:r>
    </w:p>
    <w:p w14:paraId="4D4EEC8B">
      <w:pPr>
        <w:ind w:firstLine="645"/>
        <w:rPr>
          <w:rFonts w:hint="eastAsia" w:ascii="仿宋" w:hAnsi="仿宋" w:eastAsia="仿宋"/>
          <w:sz w:val="32"/>
          <w:szCs w:val="32"/>
          <w:lang w:eastAsia="zh-CN"/>
        </w:rPr>
      </w:pPr>
      <w:r>
        <w:rPr>
          <w:rFonts w:hint="eastAsia" w:ascii="仿宋" w:hAnsi="仿宋" w:eastAsia="仿宋"/>
          <w:sz w:val="32"/>
          <w:szCs w:val="32"/>
          <w:lang w:eastAsia="zh-CN"/>
        </w:rPr>
        <w:t>救助对象医疗费</w:t>
      </w:r>
      <w:r>
        <w:rPr>
          <w:rFonts w:hint="eastAsia" w:ascii="仿宋" w:hAnsi="仿宋" w:eastAsia="仿宋"/>
          <w:sz w:val="32"/>
          <w:szCs w:val="32"/>
        </w:rPr>
        <w:t>项目按照国家的相关法律法规、国民经济发展规划和党委政府决定，并结合我县实际，量化救助标准，分类实施救助，全力做好辖区内</w:t>
      </w:r>
      <w:r>
        <w:rPr>
          <w:rFonts w:hint="eastAsia" w:ascii="仿宋" w:hAnsi="仿宋" w:eastAsia="仿宋"/>
          <w:sz w:val="32"/>
          <w:szCs w:val="32"/>
          <w:lang w:eastAsia="zh-CN"/>
        </w:rPr>
        <w:t>生活无着流浪乞讨人员的医疗救治工作。</w:t>
      </w:r>
    </w:p>
    <w:p w14:paraId="51333B1C">
      <w:pPr>
        <w:ind w:firstLine="645"/>
        <w:rPr>
          <w:rFonts w:hint="eastAsia" w:ascii="仿宋" w:hAnsi="仿宋" w:eastAsia="仿宋"/>
          <w:sz w:val="32"/>
          <w:szCs w:val="32"/>
        </w:rPr>
      </w:pPr>
      <w:r>
        <w:rPr>
          <w:rFonts w:hint="eastAsia" w:ascii="仿宋" w:hAnsi="仿宋" w:eastAsia="仿宋"/>
          <w:sz w:val="32"/>
          <w:szCs w:val="32"/>
        </w:rPr>
        <w:t>经县人大会议审议通过，</w:t>
      </w:r>
      <w:r>
        <w:rPr>
          <w:rFonts w:hint="eastAsia" w:ascii="仿宋" w:hAnsi="仿宋" w:eastAsia="仿宋"/>
          <w:sz w:val="32"/>
          <w:szCs w:val="32"/>
          <w:lang w:eastAsia="zh-CN"/>
        </w:rPr>
        <w:t>救助对象医疗费</w:t>
      </w:r>
      <w:r>
        <w:rPr>
          <w:rFonts w:hint="eastAsia" w:ascii="仿宋" w:hAnsi="仿宋" w:eastAsia="仿宋"/>
          <w:sz w:val="32"/>
          <w:szCs w:val="32"/>
        </w:rPr>
        <w:t>项目纳入年度预算管理。</w:t>
      </w:r>
    </w:p>
    <w:p w14:paraId="41987049">
      <w:pPr>
        <w:numPr>
          <w:ilvl w:val="0"/>
          <w:numId w:val="0"/>
        </w:numPr>
        <w:ind w:leftChars="0"/>
        <w:rPr>
          <w:rFonts w:hint="eastAsia" w:ascii="仿宋" w:hAnsi="仿宋" w:eastAsia="仿宋"/>
          <w:sz w:val="32"/>
          <w:szCs w:val="32"/>
          <w:lang w:eastAsia="zh-CN"/>
        </w:rPr>
      </w:pPr>
      <w:r>
        <w:rPr>
          <w:rFonts w:hint="eastAsia" w:ascii="仿宋" w:hAnsi="仿宋" w:eastAsia="仿宋"/>
          <w:sz w:val="32"/>
          <w:szCs w:val="32"/>
          <w:lang w:eastAsia="zh-CN"/>
        </w:rPr>
        <w:t>（二）资金计划、到位及使用情况</w:t>
      </w:r>
    </w:p>
    <w:p w14:paraId="48C31BDD">
      <w:pPr>
        <w:numPr>
          <w:ilvl w:val="0"/>
          <w:numId w:val="0"/>
        </w:numPr>
        <w:ind w:left="640" w:leftChars="0"/>
        <w:rPr>
          <w:rFonts w:hint="eastAsia" w:ascii="仿宋" w:hAnsi="仿宋" w:eastAsia="仿宋"/>
          <w:sz w:val="32"/>
          <w:szCs w:val="32"/>
          <w:lang w:val="en-US" w:eastAsia="zh-CN"/>
        </w:rPr>
      </w:pPr>
      <w:r>
        <w:rPr>
          <w:rFonts w:hint="eastAsia" w:ascii="仿宋" w:hAnsi="仿宋" w:eastAsia="仿宋"/>
          <w:sz w:val="32"/>
          <w:szCs w:val="32"/>
          <w:lang w:val="en-US" w:eastAsia="zh-CN"/>
        </w:rPr>
        <w:t>1.资金计划</w:t>
      </w:r>
    </w:p>
    <w:p w14:paraId="2B8BB62D">
      <w:pPr>
        <w:ind w:firstLine="645"/>
        <w:rPr>
          <w:rFonts w:hint="eastAsia" w:ascii="仿宋" w:hAnsi="仿宋" w:eastAsia="仿宋"/>
          <w:sz w:val="32"/>
          <w:szCs w:val="32"/>
        </w:rPr>
      </w:pPr>
      <w:r>
        <w:rPr>
          <w:rFonts w:hint="eastAsia" w:ascii="仿宋" w:hAnsi="仿宋" w:eastAsia="仿宋"/>
          <w:sz w:val="32"/>
          <w:szCs w:val="32"/>
        </w:rPr>
        <w:t>按照《四川省流浪乞讨人员救助补助资金管理办法》的规定，将</w:t>
      </w:r>
      <w:r>
        <w:rPr>
          <w:rFonts w:hint="eastAsia" w:ascii="仿宋" w:hAnsi="仿宋" w:eastAsia="仿宋"/>
          <w:sz w:val="32"/>
          <w:szCs w:val="32"/>
          <w:lang w:eastAsia="zh-CN"/>
        </w:rPr>
        <w:t>流浪乞讨人员的医疗救助</w:t>
      </w:r>
      <w:r>
        <w:rPr>
          <w:rFonts w:hint="eastAsia" w:ascii="仿宋" w:hAnsi="仿宋" w:eastAsia="仿宋"/>
          <w:sz w:val="32"/>
          <w:szCs w:val="32"/>
        </w:rPr>
        <w:t>资金纳入年度预算。</w:t>
      </w:r>
    </w:p>
    <w:p w14:paraId="607E70DB">
      <w:pPr>
        <w:numPr>
          <w:ilvl w:val="0"/>
          <w:numId w:val="0"/>
        </w:numPr>
        <w:ind w:leftChars="0"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2.资金到位</w:t>
      </w:r>
    </w:p>
    <w:p w14:paraId="5F457544">
      <w:pPr>
        <w:ind w:firstLine="645"/>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sz w:val="32"/>
          <w:szCs w:val="32"/>
          <w:lang w:eastAsia="zh-CN"/>
        </w:rPr>
        <w:t>救助对象医疗费</w:t>
      </w:r>
      <w:r>
        <w:rPr>
          <w:rFonts w:hint="eastAsia" w:ascii="仿宋" w:hAnsi="仿宋" w:eastAsia="仿宋"/>
          <w:sz w:val="32"/>
          <w:szCs w:val="32"/>
        </w:rPr>
        <w:t>项目预算金额为</w:t>
      </w:r>
      <w:r>
        <w:rPr>
          <w:rFonts w:hint="eastAsia" w:ascii="仿宋" w:hAnsi="仿宋" w:eastAsia="仿宋"/>
          <w:sz w:val="32"/>
          <w:szCs w:val="32"/>
          <w:lang w:val="en-US" w:eastAsia="zh-CN"/>
        </w:rPr>
        <w:t>1.7</w:t>
      </w:r>
      <w:r>
        <w:rPr>
          <w:rFonts w:hint="eastAsia" w:ascii="仿宋" w:hAnsi="仿宋" w:eastAsia="仿宋"/>
          <w:sz w:val="32"/>
          <w:szCs w:val="32"/>
        </w:rPr>
        <w:t>万元，已全部拨付到位，资金到位率为100%。</w:t>
      </w:r>
    </w:p>
    <w:p w14:paraId="26E95B40">
      <w:pPr>
        <w:numPr>
          <w:ilvl w:val="0"/>
          <w:numId w:val="0"/>
        </w:numPr>
        <w:ind w:leftChars="0"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3.资金使用</w:t>
      </w:r>
    </w:p>
    <w:p w14:paraId="37FF0E1B">
      <w:pPr>
        <w:ind w:firstLine="645"/>
        <w:rPr>
          <w:rFonts w:hint="eastAsia" w:ascii="仿宋" w:hAnsi="仿宋" w:eastAsia="仿宋"/>
          <w:sz w:val="32"/>
          <w:szCs w:val="32"/>
        </w:rPr>
      </w:pPr>
      <w:r>
        <w:rPr>
          <w:rFonts w:hint="eastAsia" w:ascii="仿宋" w:hAnsi="仿宋" w:eastAsia="仿宋"/>
          <w:sz w:val="32"/>
          <w:szCs w:val="32"/>
          <w:lang w:eastAsia="zh-CN"/>
        </w:rPr>
        <w:t>截至</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年12月30日，</w:t>
      </w:r>
      <w:r>
        <w:rPr>
          <w:rFonts w:hint="eastAsia" w:ascii="仿宋" w:hAnsi="仿宋" w:eastAsia="仿宋"/>
          <w:sz w:val="32"/>
          <w:szCs w:val="32"/>
          <w:lang w:eastAsia="zh-CN"/>
        </w:rPr>
        <w:t>救助对象医疗费</w:t>
      </w:r>
      <w:r>
        <w:rPr>
          <w:rFonts w:hint="eastAsia" w:ascii="仿宋" w:hAnsi="仿宋" w:eastAsia="仿宋"/>
          <w:sz w:val="32"/>
          <w:szCs w:val="32"/>
        </w:rPr>
        <w:t>实际支出为</w:t>
      </w:r>
      <w:r>
        <w:rPr>
          <w:rFonts w:hint="eastAsia" w:ascii="仿宋" w:hAnsi="仿宋" w:eastAsia="仿宋"/>
          <w:sz w:val="32"/>
          <w:szCs w:val="32"/>
          <w:lang w:val="en-US" w:eastAsia="zh-CN"/>
        </w:rPr>
        <w:t>1.7</w:t>
      </w:r>
      <w:r>
        <w:rPr>
          <w:rFonts w:hint="eastAsia" w:ascii="仿宋" w:hAnsi="仿宋" w:eastAsia="仿宋"/>
          <w:sz w:val="32"/>
          <w:szCs w:val="32"/>
        </w:rPr>
        <w:t>万元，主要用于</w:t>
      </w:r>
      <w:r>
        <w:rPr>
          <w:rFonts w:hint="eastAsia" w:ascii="仿宋" w:hAnsi="仿宋" w:eastAsia="仿宋"/>
          <w:sz w:val="32"/>
          <w:szCs w:val="32"/>
          <w:lang w:eastAsia="zh-CN"/>
        </w:rPr>
        <w:t>流浪乞讨人员住院医疗费的支付，</w:t>
      </w:r>
      <w:r>
        <w:rPr>
          <w:rFonts w:hint="eastAsia" w:ascii="仿宋" w:hAnsi="仿宋" w:eastAsia="仿宋"/>
          <w:sz w:val="32"/>
          <w:szCs w:val="32"/>
        </w:rPr>
        <w:t>支付依据按照救助补助资金使用办法合规合法的进行使用。资金支付与预算相符。</w:t>
      </w:r>
    </w:p>
    <w:p w14:paraId="1E3B293F">
      <w:pPr>
        <w:pStyle w:val="15"/>
        <w:numPr>
          <w:ilvl w:val="0"/>
          <w:numId w:val="0"/>
        </w:numPr>
        <w:ind w:leftChars="0"/>
        <w:rPr>
          <w:rFonts w:hint="eastAsia"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rPr>
        <w:t>项目财务管理情况</w:t>
      </w:r>
    </w:p>
    <w:p w14:paraId="021C6BA5">
      <w:pPr>
        <w:ind w:firstLine="645"/>
        <w:rPr>
          <w:rFonts w:hint="eastAsia" w:ascii="仿宋" w:hAnsi="仿宋" w:eastAsia="仿宋"/>
          <w:sz w:val="32"/>
          <w:szCs w:val="32"/>
        </w:rPr>
      </w:pPr>
      <w:r>
        <w:rPr>
          <w:rFonts w:hint="eastAsia" w:ascii="仿宋" w:hAnsi="仿宋" w:eastAsia="仿宋"/>
          <w:sz w:val="32"/>
          <w:szCs w:val="32"/>
        </w:rPr>
        <w:t>根据省上对流浪乞讨人员救助资金有关规定的要求，</w:t>
      </w:r>
      <w:r>
        <w:rPr>
          <w:rFonts w:hint="eastAsia" w:ascii="仿宋" w:hAnsi="仿宋" w:eastAsia="仿宋"/>
          <w:sz w:val="32"/>
          <w:szCs w:val="32"/>
          <w:lang w:eastAsia="zh-CN"/>
        </w:rPr>
        <w:t>弃婴护理费</w:t>
      </w:r>
      <w:r>
        <w:rPr>
          <w:rFonts w:hint="eastAsia" w:ascii="仿宋" w:hAnsi="仿宋" w:eastAsia="仿宋"/>
          <w:sz w:val="32"/>
          <w:szCs w:val="32"/>
        </w:rPr>
        <w:t>资金项目的使用符合相关财务会计制度，资金的拨付有完整的审批程序和手续，实行专账管理，并按照具体救助的支出项目单独记账，资金不存在挤占、挪用、套取等情况。建立健全流浪乞讨人员救助资金监管机制，定期对补助资金使用情况进行检查，对检查发现的问题及时进行了整改。</w:t>
      </w:r>
    </w:p>
    <w:p w14:paraId="3F06438A">
      <w:pPr>
        <w:rPr>
          <w:rFonts w:hint="eastAsia" w:ascii="仿宋" w:hAnsi="仿宋" w:eastAsia="仿宋"/>
          <w:sz w:val="32"/>
          <w:szCs w:val="32"/>
          <w:lang w:eastAsia="zh-CN"/>
        </w:rPr>
      </w:pPr>
      <w:r>
        <w:rPr>
          <w:rFonts w:hint="eastAsia" w:ascii="仿宋" w:hAnsi="仿宋" w:eastAsia="仿宋"/>
          <w:sz w:val="32"/>
          <w:szCs w:val="32"/>
          <w:lang w:eastAsia="zh-CN"/>
        </w:rPr>
        <w:t>三、项目实施及管理情况</w:t>
      </w:r>
    </w:p>
    <w:p w14:paraId="3361657F">
      <w:pPr>
        <w:pStyle w:val="15"/>
        <w:numPr>
          <w:ilvl w:val="0"/>
          <w:numId w:val="0"/>
        </w:numPr>
        <w:ind w:leftChars="0"/>
        <w:rPr>
          <w:rFonts w:hint="eastAsia"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项目组织</w:t>
      </w:r>
      <w:r>
        <w:rPr>
          <w:rFonts w:hint="eastAsia" w:ascii="仿宋" w:hAnsi="仿宋" w:eastAsia="仿宋"/>
          <w:sz w:val="32"/>
          <w:szCs w:val="32"/>
          <w:lang w:eastAsia="zh-CN"/>
        </w:rPr>
        <w:t>架构及实施流程</w:t>
      </w:r>
    </w:p>
    <w:p w14:paraId="4BCDAFF3">
      <w:pPr>
        <w:ind w:firstLine="640"/>
        <w:rPr>
          <w:rFonts w:hint="eastAsia" w:ascii="仿宋" w:hAnsi="仿宋" w:eastAsia="仿宋"/>
          <w:sz w:val="32"/>
          <w:szCs w:val="32"/>
          <w:lang w:eastAsia="zh-CN"/>
        </w:rPr>
      </w:pPr>
      <w:r>
        <w:rPr>
          <w:rFonts w:hint="eastAsia" w:ascii="仿宋" w:hAnsi="仿宋" w:eastAsia="仿宋"/>
          <w:sz w:val="32"/>
          <w:szCs w:val="32"/>
        </w:rPr>
        <w:t>按照省民政厅、财政厅制定的要求，结合实际，细化措施。</w:t>
      </w:r>
      <w:r>
        <w:rPr>
          <w:rFonts w:hint="eastAsia" w:ascii="仿宋" w:hAnsi="仿宋" w:eastAsia="仿宋"/>
          <w:sz w:val="32"/>
          <w:szCs w:val="32"/>
          <w:lang w:eastAsia="zh-CN"/>
        </w:rPr>
        <w:t>根据省上要求制定了流浪乞讨人员救助标准，弃婴护理费标准参照当地的工资标准执行，确保弃婴得到充足的生存条件。对救助管理工作定期开展检查，对检查或抽查发现的问题及时进行整改。</w:t>
      </w:r>
    </w:p>
    <w:p w14:paraId="64E0A6CD">
      <w:pPr>
        <w:numPr>
          <w:ilvl w:val="0"/>
          <w:numId w:val="0"/>
        </w:numPr>
        <w:ind w:leftChars="0"/>
        <w:rPr>
          <w:rFonts w:hint="eastAsia" w:ascii="仿宋" w:hAnsi="仿宋" w:eastAsia="仿宋"/>
          <w:sz w:val="32"/>
          <w:szCs w:val="32"/>
          <w:lang w:eastAsia="zh-CN"/>
        </w:rPr>
      </w:pPr>
      <w:r>
        <w:rPr>
          <w:rFonts w:hint="eastAsia" w:ascii="仿宋" w:hAnsi="仿宋" w:eastAsia="仿宋"/>
          <w:sz w:val="32"/>
          <w:szCs w:val="32"/>
          <w:lang w:eastAsia="zh-CN"/>
        </w:rPr>
        <w:t>（二）项目管理情况</w:t>
      </w:r>
    </w:p>
    <w:p w14:paraId="0E24A2A6">
      <w:pPr>
        <w:numPr>
          <w:ilvl w:val="0"/>
          <w:numId w:val="0"/>
        </w:numPr>
        <w:ind w:leftChars="0" w:firstLine="640"/>
        <w:rPr>
          <w:rFonts w:hint="eastAsia" w:ascii="仿宋" w:hAnsi="仿宋" w:eastAsia="仿宋"/>
          <w:sz w:val="32"/>
          <w:szCs w:val="32"/>
          <w:lang w:val="en-US" w:eastAsia="zh-CN"/>
        </w:rPr>
      </w:pPr>
      <w:r>
        <w:rPr>
          <w:rFonts w:hint="eastAsia" w:ascii="仿宋" w:hAnsi="仿宋" w:eastAsia="仿宋"/>
          <w:sz w:val="32"/>
          <w:szCs w:val="32"/>
          <w:lang w:val="en-US" w:eastAsia="zh-CN"/>
        </w:rPr>
        <w:t>救助对象医疗费项目严格按照省民政厅、财政厅制定的使用范围，不超标准超范围使用资金。</w:t>
      </w:r>
    </w:p>
    <w:p w14:paraId="65EB6924">
      <w:pPr>
        <w:numPr>
          <w:ilvl w:val="0"/>
          <w:numId w:val="0"/>
        </w:numPr>
        <w:ind w:leftChars="0"/>
        <w:rPr>
          <w:rFonts w:hint="eastAsia" w:ascii="仿宋" w:hAnsi="仿宋" w:eastAsia="仿宋"/>
          <w:sz w:val="32"/>
          <w:szCs w:val="32"/>
          <w:lang w:val="en-US" w:eastAsia="zh-CN"/>
        </w:rPr>
      </w:pPr>
      <w:r>
        <w:rPr>
          <w:rFonts w:hint="eastAsia" w:ascii="仿宋" w:hAnsi="仿宋" w:eastAsia="仿宋"/>
          <w:sz w:val="32"/>
          <w:szCs w:val="32"/>
          <w:lang w:val="en-US" w:eastAsia="zh-CN"/>
        </w:rPr>
        <w:t>（三）项目监管情况</w:t>
      </w:r>
    </w:p>
    <w:p w14:paraId="79A0E96E">
      <w:pPr>
        <w:numPr>
          <w:ilvl w:val="0"/>
          <w:numId w:val="0"/>
        </w:numPr>
        <w:ind w:leftChars="0" w:firstLine="640"/>
        <w:rPr>
          <w:rFonts w:hint="eastAsia" w:ascii="仿宋" w:hAnsi="仿宋" w:eastAsia="仿宋"/>
          <w:sz w:val="32"/>
          <w:szCs w:val="32"/>
          <w:lang w:val="en-US" w:eastAsia="zh-CN"/>
        </w:rPr>
      </w:pPr>
      <w:r>
        <w:rPr>
          <w:rFonts w:hint="eastAsia" w:ascii="仿宋" w:hAnsi="仿宋" w:eastAsia="仿宋"/>
          <w:sz w:val="32"/>
          <w:szCs w:val="32"/>
          <w:lang w:val="en-US" w:eastAsia="zh-CN"/>
        </w:rPr>
        <w:t>县财政局、民政局对救助对象费资金绩效目标实现情况进行监控、确保绩效目标如期实现。</w:t>
      </w:r>
    </w:p>
    <w:p w14:paraId="37460F9A">
      <w:pPr>
        <w:numPr>
          <w:ilvl w:val="0"/>
          <w:numId w:val="0"/>
        </w:numPr>
        <w:rPr>
          <w:rFonts w:hint="eastAsia" w:ascii="仿宋" w:hAnsi="仿宋" w:eastAsia="仿宋"/>
          <w:sz w:val="32"/>
          <w:szCs w:val="32"/>
          <w:lang w:eastAsia="zh-CN"/>
        </w:rPr>
      </w:pPr>
      <w:r>
        <w:rPr>
          <w:rFonts w:hint="eastAsia" w:ascii="仿宋" w:hAnsi="仿宋" w:eastAsia="仿宋"/>
          <w:sz w:val="32"/>
          <w:szCs w:val="32"/>
          <w:lang w:eastAsia="zh-CN"/>
        </w:rPr>
        <w:t>四、项目绩效情况</w:t>
      </w:r>
    </w:p>
    <w:p w14:paraId="7FF5A455">
      <w:pPr>
        <w:numPr>
          <w:ilvl w:val="0"/>
          <w:numId w:val="0"/>
        </w:numPr>
        <w:rPr>
          <w:rFonts w:hint="eastAsia" w:ascii="仿宋" w:hAnsi="仿宋" w:eastAsia="仿宋"/>
          <w:sz w:val="32"/>
          <w:szCs w:val="32"/>
          <w:lang w:eastAsia="zh-CN"/>
        </w:rPr>
      </w:pPr>
      <w:r>
        <w:rPr>
          <w:rFonts w:hint="eastAsia" w:ascii="仿宋" w:hAnsi="仿宋" w:eastAsia="仿宋"/>
          <w:sz w:val="32"/>
          <w:szCs w:val="32"/>
          <w:lang w:eastAsia="zh-CN"/>
        </w:rPr>
        <w:t>（一）项目完成情况</w:t>
      </w:r>
    </w:p>
    <w:p w14:paraId="61C0C882">
      <w:pPr>
        <w:numPr>
          <w:ilvl w:val="0"/>
          <w:numId w:val="0"/>
        </w:numPr>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截至目前，我单位已经对流浪乞讨人员中的9人次进行了医疗救治，对入站的流浪乞讨人员中需要进行医疗救治的人员全部送至医院进行治疗，已完成全年任务的100%。</w:t>
      </w:r>
    </w:p>
    <w:p w14:paraId="3ABA421D">
      <w:pPr>
        <w:numPr>
          <w:ilvl w:val="0"/>
          <w:numId w:val="0"/>
        </w:numPr>
        <w:ind w:leftChars="0"/>
        <w:rPr>
          <w:rFonts w:hint="eastAsia" w:ascii="仿宋" w:hAnsi="仿宋" w:eastAsia="仿宋"/>
          <w:sz w:val="32"/>
          <w:szCs w:val="32"/>
          <w:lang w:val="en-US" w:eastAsia="zh-CN"/>
        </w:rPr>
      </w:pPr>
      <w:r>
        <w:rPr>
          <w:rFonts w:hint="eastAsia" w:ascii="仿宋" w:hAnsi="仿宋" w:eastAsia="仿宋"/>
          <w:sz w:val="32"/>
          <w:szCs w:val="32"/>
          <w:lang w:val="en-US" w:eastAsia="zh-CN"/>
        </w:rPr>
        <w:t>（二）项目效益情况</w:t>
      </w:r>
    </w:p>
    <w:p w14:paraId="0947DB55">
      <w:pPr>
        <w:numPr>
          <w:ilvl w:val="0"/>
          <w:numId w:val="0"/>
        </w:numPr>
        <w:ind w:leftChars="0" w:firstLine="640"/>
        <w:rPr>
          <w:rFonts w:hint="eastAsia" w:ascii="仿宋" w:hAnsi="仿宋" w:eastAsia="仿宋"/>
          <w:sz w:val="32"/>
          <w:szCs w:val="32"/>
          <w:lang w:val="en-US" w:eastAsia="zh-CN"/>
        </w:rPr>
      </w:pPr>
      <w:r>
        <w:rPr>
          <w:rFonts w:hint="eastAsia" w:ascii="仿宋" w:hAnsi="仿宋" w:eastAsia="仿宋"/>
          <w:sz w:val="32"/>
          <w:szCs w:val="32"/>
          <w:lang w:val="en-US" w:eastAsia="zh-CN"/>
        </w:rPr>
        <w:t>救助对象医疗费资金项目的社会效益指标是没有发生因流乞人员没有得到及时救治发生重大事件；可持续影响是流乞人员得到及时医治持续发挥效益；无流乞人员因病无法医治满意度</w:t>
      </w:r>
      <w:r>
        <w:rPr>
          <w:rFonts w:hint="default" w:ascii="Arial" w:hAnsi="Arial" w:eastAsia="仿宋" w:cs="Arial"/>
          <w:sz w:val="32"/>
          <w:szCs w:val="32"/>
          <w:lang w:val="en-US" w:eastAsia="zh-CN"/>
        </w:rPr>
        <w:t>≥</w:t>
      </w:r>
      <w:r>
        <w:rPr>
          <w:rFonts w:hint="eastAsia" w:ascii="仿宋" w:hAnsi="仿宋" w:eastAsia="仿宋"/>
          <w:sz w:val="32"/>
          <w:szCs w:val="32"/>
          <w:lang w:val="en-US" w:eastAsia="zh-CN"/>
        </w:rPr>
        <w:t>95%。</w:t>
      </w:r>
    </w:p>
    <w:p w14:paraId="3A91AA26">
      <w:pPr>
        <w:numPr>
          <w:ilvl w:val="0"/>
          <w:numId w:val="0"/>
        </w:numPr>
        <w:ind w:leftChars="0"/>
        <w:rPr>
          <w:rFonts w:hint="eastAsia" w:ascii="仿宋" w:hAnsi="仿宋" w:eastAsia="仿宋"/>
          <w:sz w:val="32"/>
          <w:szCs w:val="32"/>
          <w:lang w:val="en-US" w:eastAsia="zh-CN"/>
        </w:rPr>
      </w:pPr>
      <w:r>
        <w:rPr>
          <w:rFonts w:hint="eastAsia" w:ascii="仿宋" w:hAnsi="仿宋" w:eastAsia="仿宋"/>
          <w:sz w:val="32"/>
          <w:szCs w:val="32"/>
          <w:lang w:val="en-US" w:eastAsia="zh-CN"/>
        </w:rPr>
        <w:t>五、评价结论及建议</w:t>
      </w:r>
    </w:p>
    <w:p w14:paraId="446AB97F">
      <w:pPr>
        <w:numPr>
          <w:ilvl w:val="0"/>
          <w:numId w:val="0"/>
        </w:numPr>
        <w:rPr>
          <w:rFonts w:hint="eastAsia" w:ascii="仿宋" w:hAnsi="仿宋" w:eastAsia="仿宋"/>
          <w:sz w:val="32"/>
          <w:szCs w:val="32"/>
          <w:lang w:val="en-US" w:eastAsia="zh-CN"/>
        </w:rPr>
      </w:pPr>
      <w:r>
        <w:rPr>
          <w:rFonts w:hint="eastAsia" w:ascii="仿宋" w:hAnsi="仿宋" w:eastAsia="仿宋"/>
          <w:sz w:val="32"/>
          <w:szCs w:val="32"/>
          <w:lang w:val="en-US" w:eastAsia="zh-CN"/>
        </w:rPr>
        <w:t>（一）评价结论</w:t>
      </w:r>
    </w:p>
    <w:p w14:paraId="475296D9">
      <w:pPr>
        <w:numPr>
          <w:ilvl w:val="0"/>
          <w:numId w:val="0"/>
        </w:numPr>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救助对象医疗费项目的实施，保障了流乞人员的基本医疗问题，保障了社会的安定团结。</w:t>
      </w:r>
    </w:p>
    <w:p w14:paraId="78B5B89D">
      <w:pPr>
        <w:numPr>
          <w:ilvl w:val="0"/>
          <w:numId w:val="0"/>
        </w:numPr>
        <w:rPr>
          <w:rFonts w:hint="eastAsia" w:ascii="仿宋" w:hAnsi="仿宋" w:eastAsia="仿宋"/>
          <w:sz w:val="32"/>
          <w:szCs w:val="32"/>
          <w:lang w:val="en-US" w:eastAsia="zh-CN"/>
        </w:rPr>
      </w:pPr>
      <w:r>
        <w:rPr>
          <w:rFonts w:hint="eastAsia" w:ascii="仿宋" w:hAnsi="仿宋" w:eastAsia="仿宋"/>
          <w:sz w:val="32"/>
          <w:szCs w:val="32"/>
          <w:lang w:val="en-US" w:eastAsia="zh-CN"/>
        </w:rPr>
        <w:t>（二）存在的问题</w:t>
      </w:r>
    </w:p>
    <w:p w14:paraId="7357C22E">
      <w:pPr>
        <w:numPr>
          <w:ilvl w:val="0"/>
          <w:numId w:val="0"/>
        </w:numPr>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1.“职业乞讨”现象依然存在。职业乞讨问题是一个社会问题，需要引起我们的重视，职业乞讨者很多都是成帮结伙，强讨硬要，这些职业乞丐是把乞讨作为长期的生活方式的流浪乞讨者，终年在城市里借乞讨生财，由于救助会影响他们的乞讨收入，多数不愿意接受救助，更不愿意返回原籍。救助管理站作为一个救助性的临时服务机构，实行自愿救助的原则，没有执法权。</w:t>
      </w:r>
    </w:p>
    <w:p w14:paraId="3AAE6479">
      <w:pPr>
        <w:numPr>
          <w:ilvl w:val="0"/>
          <w:numId w:val="0"/>
        </w:numPr>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2.救助对象身份甄别难度大。由于救助人员的多样性，在实际操作过程中，因多种原因求助人员无法提供完整的身份信息，有些没有身份证，有些连自己的名字都不知道，更不知道家庭住址，加上求助人员以口述为依据，救助对象流出地遍布全国各地，导致甄别核对工作量大。</w:t>
      </w:r>
    </w:p>
    <w:p w14:paraId="32152537">
      <w:pPr>
        <w:numPr>
          <w:ilvl w:val="0"/>
          <w:numId w:val="0"/>
        </w:numPr>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3.跑站、骗助形势严峻。由于救助站可以为求助人员提供返乡车票，一些人利用政策上的漏洞，往返于各个救助站之间骗助、骗票倒票，为个人牟利，成为生财之道，逐渐形成专业化、团伙化、多地化等特点。</w:t>
      </w:r>
    </w:p>
    <w:p w14:paraId="15A9F2FD">
      <w:pPr>
        <w:numPr>
          <w:ilvl w:val="0"/>
          <w:numId w:val="0"/>
        </w:numPr>
        <w:rPr>
          <w:rFonts w:hint="eastAsia" w:ascii="仿宋" w:hAnsi="仿宋" w:eastAsia="仿宋"/>
          <w:sz w:val="32"/>
          <w:szCs w:val="32"/>
          <w:lang w:val="en-US" w:eastAsia="zh-CN"/>
        </w:rPr>
      </w:pPr>
      <w:r>
        <w:rPr>
          <w:rFonts w:hint="eastAsia" w:ascii="仿宋" w:hAnsi="仿宋" w:eastAsia="仿宋"/>
          <w:sz w:val="32"/>
          <w:szCs w:val="32"/>
          <w:lang w:val="en-US" w:eastAsia="zh-CN"/>
        </w:rPr>
        <w:t>（三）相关建议</w:t>
      </w:r>
    </w:p>
    <w:p w14:paraId="4CC61AEA">
      <w:pPr>
        <w:numPr>
          <w:ilvl w:val="0"/>
          <w:numId w:val="0"/>
        </w:numPr>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1.全方位加强救助工作宣传报道力度。救助站要主动发制救助信息，尽量大可能帮助受助人员返回家庭。完善舆情应急预案，学会主动沟通、积极宣传。</w:t>
      </w:r>
    </w:p>
    <w:p w14:paraId="0688527F">
      <w:pPr>
        <w:numPr>
          <w:ilvl w:val="0"/>
          <w:numId w:val="0"/>
        </w:numPr>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2.加强救助人员的身份查询及录亲工作。一是建立身份查询机制。通过受助人员指纹、体貌特征等线索，及时查询比对全国救助管理信息系统中的寻亲信息。对疑似走失、被遗弃、被拐卖的流浪乞讨人员，通过询问及走访群众、比对公安机关人中信息管理系统，核查其身份信息。二是建产寻亲服务机制。对于经快速查询未能确认身份的受助人员，我站将在其入站后24小时内通过传媒等形式发布寻亲公告，并在其入站后7个工作日内报请公安机关采集DNA数据。三是建立身份查询长效机制。对于滞留人员，继续开展手托养机构协助查询工作。</w:t>
      </w:r>
    </w:p>
    <w:p w14:paraId="70F9E777">
      <w:pPr>
        <w:numPr>
          <w:ilvl w:val="0"/>
          <w:numId w:val="0"/>
        </w:numPr>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3.严惩一些人利用政策上的漏洞，住返于各个救助站之间，骗助、骗票倒卖，牟利行为，保障我站救助工作有效的开展。</w:t>
      </w:r>
    </w:p>
    <w:p w14:paraId="7252B005">
      <w:pPr>
        <w:numPr>
          <w:ilvl w:val="0"/>
          <w:numId w:val="0"/>
        </w:numPr>
        <w:ind w:firstLine="640"/>
        <w:rPr>
          <w:rFonts w:hint="eastAsia" w:ascii="仿宋" w:hAnsi="仿宋" w:eastAsia="仿宋"/>
          <w:sz w:val="32"/>
          <w:szCs w:val="32"/>
          <w:lang w:val="en-US" w:eastAsia="zh-CN"/>
        </w:rPr>
      </w:pPr>
    </w:p>
    <w:p w14:paraId="068B6BA9">
      <w:pPr>
        <w:numPr>
          <w:ilvl w:val="0"/>
          <w:numId w:val="0"/>
        </w:numPr>
        <w:ind w:firstLine="640"/>
        <w:rPr>
          <w:rFonts w:hint="eastAsia" w:ascii="仿宋" w:hAnsi="仿宋" w:eastAsia="仿宋"/>
          <w:sz w:val="32"/>
          <w:szCs w:val="32"/>
          <w:lang w:val="en-US" w:eastAsia="zh-CN"/>
        </w:rPr>
      </w:pPr>
    </w:p>
    <w:p w14:paraId="2728C240">
      <w:pPr>
        <w:numPr>
          <w:ilvl w:val="0"/>
          <w:numId w:val="0"/>
        </w:numPr>
        <w:ind w:firstLine="640"/>
        <w:rPr>
          <w:rFonts w:hint="eastAsia" w:ascii="仿宋" w:hAnsi="仿宋" w:eastAsia="仿宋"/>
          <w:sz w:val="32"/>
          <w:szCs w:val="32"/>
          <w:lang w:val="en-US" w:eastAsia="zh-CN"/>
        </w:rPr>
      </w:pPr>
    </w:p>
    <w:p w14:paraId="5F70631E">
      <w:pPr>
        <w:numPr>
          <w:ilvl w:val="0"/>
          <w:numId w:val="0"/>
        </w:numPr>
        <w:ind w:firstLine="640"/>
        <w:rPr>
          <w:rFonts w:hint="eastAsia" w:ascii="仿宋" w:hAnsi="仿宋" w:eastAsia="仿宋"/>
          <w:sz w:val="32"/>
          <w:szCs w:val="32"/>
          <w:lang w:val="en-US" w:eastAsia="zh-CN"/>
        </w:rPr>
      </w:pPr>
    </w:p>
    <w:p w14:paraId="2B16DAB3">
      <w:pPr>
        <w:spacing w:line="600" w:lineRule="exact"/>
        <w:jc w:val="both"/>
        <w:outlineLvl w:val="0"/>
        <w:rPr>
          <w:rFonts w:hint="eastAsia" w:ascii="黑体" w:hAnsi="黑体" w:eastAsia="黑体"/>
          <w:color w:val="000000"/>
          <w:sz w:val="44"/>
          <w:szCs w:val="44"/>
        </w:rPr>
      </w:pPr>
    </w:p>
    <w:p w14:paraId="6DEFE033">
      <w:pPr>
        <w:spacing w:line="600" w:lineRule="exact"/>
        <w:jc w:val="both"/>
        <w:outlineLvl w:val="0"/>
        <w:rPr>
          <w:rFonts w:hint="eastAsia" w:ascii="黑体" w:hAnsi="黑体" w:eastAsia="黑体"/>
          <w:color w:val="000000"/>
          <w:sz w:val="44"/>
          <w:szCs w:val="44"/>
        </w:rPr>
      </w:pPr>
    </w:p>
    <w:p w14:paraId="3FEE58DC">
      <w:pPr>
        <w:spacing w:line="600" w:lineRule="exact"/>
        <w:jc w:val="both"/>
        <w:outlineLvl w:val="0"/>
        <w:rPr>
          <w:rFonts w:hint="eastAsia" w:ascii="黑体" w:hAnsi="黑体" w:eastAsia="黑体"/>
          <w:color w:val="000000"/>
          <w:sz w:val="44"/>
          <w:szCs w:val="44"/>
        </w:rPr>
      </w:pPr>
    </w:p>
    <w:p w14:paraId="72C725A7">
      <w:pPr>
        <w:spacing w:line="600" w:lineRule="exact"/>
        <w:jc w:val="both"/>
        <w:outlineLvl w:val="0"/>
        <w:rPr>
          <w:rFonts w:hint="eastAsia" w:ascii="黑体" w:hAnsi="黑体" w:eastAsia="黑体"/>
          <w:color w:val="000000"/>
          <w:sz w:val="44"/>
          <w:szCs w:val="44"/>
        </w:rPr>
      </w:pPr>
    </w:p>
    <w:p w14:paraId="2E2A7EF0">
      <w:pPr>
        <w:pStyle w:val="2"/>
        <w:rPr>
          <w:rFonts w:hint="eastAsia" w:ascii="黑体" w:hAnsi="黑体" w:eastAsia="黑体"/>
          <w:color w:val="000000"/>
          <w:sz w:val="44"/>
          <w:szCs w:val="44"/>
        </w:rPr>
      </w:pPr>
    </w:p>
    <w:p w14:paraId="16D423D9">
      <w:pPr>
        <w:pStyle w:val="2"/>
        <w:rPr>
          <w:rFonts w:hint="eastAsia" w:ascii="黑体" w:hAnsi="黑体" w:eastAsia="黑体"/>
          <w:color w:val="000000"/>
          <w:sz w:val="44"/>
          <w:szCs w:val="44"/>
        </w:rPr>
      </w:pPr>
    </w:p>
    <w:p w14:paraId="7D6432F0">
      <w:pPr>
        <w:pStyle w:val="2"/>
        <w:rPr>
          <w:rFonts w:hint="eastAsia" w:ascii="黑体" w:hAnsi="黑体" w:eastAsia="黑体"/>
          <w:color w:val="000000"/>
          <w:sz w:val="44"/>
          <w:szCs w:val="44"/>
        </w:rPr>
      </w:pPr>
    </w:p>
    <w:p w14:paraId="43075970">
      <w:pPr>
        <w:pStyle w:val="2"/>
        <w:rPr>
          <w:rFonts w:hint="eastAsia" w:ascii="黑体" w:hAnsi="黑体" w:eastAsia="黑体"/>
          <w:color w:val="000000"/>
          <w:sz w:val="44"/>
          <w:szCs w:val="44"/>
        </w:rPr>
      </w:pPr>
    </w:p>
    <w:p w14:paraId="63BE39EE">
      <w:pPr>
        <w:pStyle w:val="2"/>
        <w:rPr>
          <w:rFonts w:hint="eastAsia" w:ascii="黑体" w:hAnsi="黑体" w:eastAsia="黑体"/>
          <w:color w:val="000000"/>
          <w:sz w:val="44"/>
          <w:szCs w:val="44"/>
        </w:rPr>
      </w:pPr>
    </w:p>
    <w:p w14:paraId="74780DDA">
      <w:pPr>
        <w:spacing w:line="600" w:lineRule="exact"/>
        <w:jc w:val="both"/>
        <w:outlineLvl w:val="0"/>
        <w:rPr>
          <w:rFonts w:hint="eastAsia" w:ascii="黑体" w:hAnsi="黑体" w:eastAsia="黑体"/>
          <w:color w:val="000000"/>
          <w:sz w:val="44"/>
          <w:szCs w:val="44"/>
        </w:rPr>
      </w:pPr>
    </w:p>
    <w:p w14:paraId="7EC09EEA">
      <w:pPr>
        <w:spacing w:line="600" w:lineRule="exact"/>
        <w:jc w:val="both"/>
        <w:outlineLvl w:val="0"/>
        <w:rPr>
          <w:rFonts w:hint="eastAsia" w:ascii="黑体" w:hAnsi="黑体" w:eastAsia="黑体"/>
          <w:color w:val="000000"/>
          <w:sz w:val="44"/>
          <w:szCs w:val="44"/>
        </w:rPr>
      </w:pPr>
    </w:p>
    <w:p w14:paraId="22F89922">
      <w:pPr>
        <w:spacing w:line="600" w:lineRule="exact"/>
        <w:jc w:val="both"/>
        <w:outlineLvl w:val="0"/>
        <w:rPr>
          <w:rFonts w:hint="eastAsia" w:ascii="黑体" w:hAnsi="黑体" w:eastAsia="黑体"/>
          <w:color w:val="000000"/>
          <w:sz w:val="44"/>
          <w:szCs w:val="44"/>
        </w:rPr>
      </w:pPr>
    </w:p>
    <w:tbl>
      <w:tblPr>
        <w:tblStyle w:val="11"/>
        <w:tblW w:w="9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9"/>
        <w:gridCol w:w="953"/>
        <w:gridCol w:w="925"/>
        <w:gridCol w:w="925"/>
        <w:gridCol w:w="892"/>
        <w:gridCol w:w="909"/>
        <w:gridCol w:w="813"/>
        <w:gridCol w:w="970"/>
        <w:gridCol w:w="805"/>
        <w:gridCol w:w="731"/>
        <w:gridCol w:w="918"/>
      </w:tblGrid>
      <w:tr w14:paraId="61E20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20" w:type="dxa"/>
            <w:gridSpan w:val="11"/>
            <w:tcBorders>
              <w:top w:val="single" w:color="000000" w:sz="4" w:space="0"/>
              <w:left w:val="single" w:color="000000" w:sz="4" w:space="0"/>
              <w:bottom w:val="single" w:color="000000" w:sz="4" w:space="0"/>
              <w:right w:val="single" w:color="000000" w:sz="4" w:space="0"/>
            </w:tcBorders>
            <w:vAlign w:val="center"/>
          </w:tcPr>
          <w:p w14:paraId="5B16CC94">
            <w:pPr>
              <w:widowControl/>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部门预算项目支出绩效自评表（2022年度）</w:t>
            </w:r>
          </w:p>
        </w:tc>
      </w:tr>
      <w:tr w14:paraId="72683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32" w:type="dxa"/>
            <w:gridSpan w:val="2"/>
            <w:tcBorders>
              <w:top w:val="single" w:color="000000" w:sz="4" w:space="0"/>
              <w:left w:val="single" w:color="000000" w:sz="4" w:space="0"/>
              <w:bottom w:val="single" w:color="000000" w:sz="4" w:space="0"/>
              <w:right w:val="single" w:color="000000" w:sz="4" w:space="0"/>
            </w:tcBorders>
            <w:vAlign w:val="center"/>
          </w:tcPr>
          <w:p w14:paraId="229354D8">
            <w:pPr>
              <w:widowControl/>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888" w:type="dxa"/>
            <w:gridSpan w:val="9"/>
            <w:tcBorders>
              <w:top w:val="single" w:color="000000" w:sz="4" w:space="0"/>
              <w:left w:val="single" w:color="000000" w:sz="4" w:space="0"/>
              <w:bottom w:val="single" w:color="000000" w:sz="4" w:space="0"/>
              <w:right w:val="single" w:color="000000" w:sz="4" w:space="0"/>
            </w:tcBorders>
            <w:vAlign w:val="center"/>
          </w:tcPr>
          <w:p w14:paraId="434AB232">
            <w:pPr>
              <w:widowControl/>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流浪乞讨人员救助资金</w:t>
            </w:r>
          </w:p>
        </w:tc>
      </w:tr>
      <w:tr w14:paraId="332AE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32" w:type="dxa"/>
            <w:gridSpan w:val="2"/>
            <w:tcBorders>
              <w:top w:val="single" w:color="000000" w:sz="4" w:space="0"/>
              <w:left w:val="single" w:color="000000" w:sz="4" w:space="0"/>
              <w:bottom w:val="single" w:color="000000" w:sz="4" w:space="0"/>
              <w:right w:val="single" w:color="000000" w:sz="4" w:space="0"/>
            </w:tcBorders>
            <w:vAlign w:val="center"/>
          </w:tcPr>
          <w:p w14:paraId="6C0046B5">
            <w:pPr>
              <w:widowControl/>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464" w:type="dxa"/>
            <w:gridSpan w:val="5"/>
            <w:tcBorders>
              <w:top w:val="single" w:color="000000" w:sz="4" w:space="0"/>
              <w:left w:val="single" w:color="000000" w:sz="4" w:space="0"/>
              <w:bottom w:val="single" w:color="000000" w:sz="4" w:space="0"/>
              <w:right w:val="single" w:color="000000" w:sz="4" w:space="0"/>
            </w:tcBorders>
            <w:vAlign w:val="center"/>
          </w:tcPr>
          <w:p w14:paraId="0A4A8BB0">
            <w:pPr>
              <w:widowControl/>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岳池县民政局</w:t>
            </w:r>
          </w:p>
        </w:tc>
        <w:tc>
          <w:tcPr>
            <w:tcW w:w="970" w:type="dxa"/>
            <w:tcBorders>
              <w:top w:val="nil"/>
              <w:left w:val="nil"/>
              <w:bottom w:val="nil"/>
              <w:right w:val="nil"/>
            </w:tcBorders>
            <w:vAlign w:val="center"/>
          </w:tcPr>
          <w:p w14:paraId="29C137B5">
            <w:pPr>
              <w:widowControl/>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454" w:type="dxa"/>
            <w:gridSpan w:val="3"/>
            <w:tcBorders>
              <w:top w:val="single" w:color="000000" w:sz="4" w:space="0"/>
              <w:left w:val="single" w:color="000000" w:sz="4" w:space="0"/>
              <w:bottom w:val="single" w:color="000000" w:sz="4" w:space="0"/>
              <w:right w:val="single" w:color="000000" w:sz="4" w:space="0"/>
            </w:tcBorders>
            <w:vAlign w:val="center"/>
          </w:tcPr>
          <w:p w14:paraId="3B40F43B">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岳池县社会救助福利中心</w:t>
            </w:r>
          </w:p>
        </w:tc>
      </w:tr>
      <w:tr w14:paraId="54493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restart"/>
            <w:tcBorders>
              <w:top w:val="single" w:color="000000" w:sz="4" w:space="0"/>
              <w:left w:val="single" w:color="000000" w:sz="4" w:space="0"/>
              <w:bottom w:val="single" w:color="000000" w:sz="4" w:space="0"/>
              <w:right w:val="single" w:color="000000" w:sz="4" w:space="0"/>
            </w:tcBorders>
            <w:vAlign w:val="center"/>
          </w:tcPr>
          <w:p w14:paraId="36F9059A">
            <w:pPr>
              <w:widowControl/>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953" w:type="dxa"/>
            <w:vMerge w:val="restart"/>
            <w:tcBorders>
              <w:top w:val="single" w:color="000000" w:sz="4" w:space="0"/>
              <w:left w:val="single" w:color="000000" w:sz="4" w:space="0"/>
              <w:bottom w:val="single" w:color="000000" w:sz="4" w:space="0"/>
              <w:right w:val="single" w:color="000000" w:sz="4" w:space="0"/>
            </w:tcBorders>
            <w:vAlign w:val="center"/>
          </w:tcPr>
          <w:p w14:paraId="73D385CB">
            <w:pPr>
              <w:widowControl/>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4464" w:type="dxa"/>
            <w:gridSpan w:val="5"/>
            <w:tcBorders>
              <w:top w:val="single" w:color="000000" w:sz="4" w:space="0"/>
              <w:left w:val="single" w:color="000000" w:sz="4" w:space="0"/>
              <w:bottom w:val="single" w:color="000000" w:sz="4" w:space="0"/>
              <w:right w:val="single" w:color="000000" w:sz="4" w:space="0"/>
            </w:tcBorders>
            <w:vAlign w:val="center"/>
          </w:tcPr>
          <w:p w14:paraId="619902F3">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424" w:type="dxa"/>
            <w:gridSpan w:val="4"/>
            <w:tcBorders>
              <w:top w:val="single" w:color="000000" w:sz="4" w:space="0"/>
              <w:left w:val="single" w:color="000000" w:sz="4" w:space="0"/>
              <w:bottom w:val="single" w:color="000000" w:sz="4" w:space="0"/>
              <w:right w:val="single" w:color="000000" w:sz="4" w:space="0"/>
            </w:tcBorders>
            <w:vAlign w:val="center"/>
          </w:tcPr>
          <w:p w14:paraId="47A0B965">
            <w:pPr>
              <w:widowControl/>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1A950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4B2117F2">
            <w:pPr>
              <w:rPr>
                <w:rFonts w:hint="eastAsia" w:ascii="宋体" w:hAnsi="宋体" w:eastAsia="宋体" w:cs="宋体"/>
                <w:i w:val="0"/>
                <w:iCs w:val="0"/>
                <w:color w:val="000000"/>
                <w:sz w:val="18"/>
                <w:szCs w:val="18"/>
                <w:u w:val="none"/>
              </w:rPr>
            </w:pPr>
          </w:p>
        </w:tc>
        <w:tc>
          <w:tcPr>
            <w:tcW w:w="953" w:type="dxa"/>
            <w:vMerge w:val="continue"/>
            <w:tcBorders>
              <w:top w:val="single" w:color="000000" w:sz="4" w:space="0"/>
              <w:left w:val="single" w:color="000000" w:sz="4" w:space="0"/>
              <w:bottom w:val="single" w:color="000000" w:sz="4" w:space="0"/>
              <w:right w:val="single" w:color="000000" w:sz="4" w:space="0"/>
            </w:tcBorders>
            <w:vAlign w:val="center"/>
          </w:tcPr>
          <w:p w14:paraId="69E2E41C">
            <w:pPr>
              <w:rPr>
                <w:rFonts w:hint="eastAsia" w:ascii="宋体" w:hAnsi="宋体" w:eastAsia="宋体" w:cs="宋体"/>
                <w:i w:val="0"/>
                <w:iCs w:val="0"/>
                <w:color w:val="000000"/>
                <w:sz w:val="18"/>
                <w:szCs w:val="18"/>
                <w:u w:val="none"/>
              </w:rPr>
            </w:pPr>
          </w:p>
        </w:tc>
        <w:tc>
          <w:tcPr>
            <w:tcW w:w="4464" w:type="dxa"/>
            <w:gridSpan w:val="5"/>
            <w:tcBorders>
              <w:top w:val="single" w:color="000000" w:sz="4" w:space="0"/>
              <w:left w:val="single" w:color="000000" w:sz="4" w:space="0"/>
              <w:bottom w:val="single" w:color="000000" w:sz="4" w:space="0"/>
              <w:right w:val="single" w:color="000000" w:sz="4" w:space="0"/>
            </w:tcBorders>
            <w:vAlign w:val="center"/>
          </w:tcPr>
          <w:p w14:paraId="73B451A8">
            <w:pPr>
              <w:widowControl/>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全年完成对400人次的流浪乞讨人员进行生活救助及返乡救助</w:t>
            </w:r>
          </w:p>
        </w:tc>
        <w:tc>
          <w:tcPr>
            <w:tcW w:w="3424" w:type="dxa"/>
            <w:gridSpan w:val="4"/>
            <w:tcBorders>
              <w:top w:val="single" w:color="000000" w:sz="4" w:space="0"/>
              <w:left w:val="single" w:color="000000" w:sz="4" w:space="0"/>
              <w:bottom w:val="single" w:color="000000" w:sz="4" w:space="0"/>
              <w:right w:val="single" w:color="000000" w:sz="4" w:space="0"/>
            </w:tcBorders>
            <w:vAlign w:val="center"/>
          </w:tcPr>
          <w:p w14:paraId="03A78E37">
            <w:pPr>
              <w:widowControl/>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2022年全年完成对164人次的流乞人员进行了救助</w:t>
            </w:r>
          </w:p>
        </w:tc>
      </w:tr>
      <w:tr w14:paraId="092EA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3E0E6894">
            <w:pP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6D599C55">
            <w:pPr>
              <w:widowControl/>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888" w:type="dxa"/>
            <w:gridSpan w:val="9"/>
            <w:tcBorders>
              <w:top w:val="single" w:color="000000" w:sz="4" w:space="0"/>
              <w:left w:val="single" w:color="000000" w:sz="4" w:space="0"/>
              <w:bottom w:val="single" w:color="000000" w:sz="4" w:space="0"/>
              <w:right w:val="single" w:color="000000" w:sz="4" w:space="0"/>
            </w:tcBorders>
            <w:vAlign w:val="center"/>
          </w:tcPr>
          <w:p w14:paraId="1E49AE12">
            <w:pPr>
              <w:widowControl/>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按照省民政厅、财政厅制定的要求，结合实际，细化措施，制定了流浪乞讨人员生活救助及返乡救助标准，受助人员生活标准参照当地低保人群的生活标准执行。</w:t>
            </w:r>
          </w:p>
        </w:tc>
      </w:tr>
      <w:tr w14:paraId="17049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restart"/>
            <w:tcBorders>
              <w:top w:val="single" w:color="000000" w:sz="4" w:space="0"/>
              <w:left w:val="single" w:color="000000" w:sz="4" w:space="0"/>
              <w:bottom w:val="single" w:color="000000" w:sz="4" w:space="0"/>
              <w:right w:val="single" w:color="000000" w:sz="4" w:space="0"/>
            </w:tcBorders>
            <w:vAlign w:val="center"/>
          </w:tcPr>
          <w:p w14:paraId="2AC83192">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953" w:type="dxa"/>
            <w:tcBorders>
              <w:top w:val="single" w:color="000000" w:sz="4" w:space="0"/>
              <w:left w:val="single" w:color="000000" w:sz="4" w:space="0"/>
              <w:bottom w:val="single" w:color="000000" w:sz="4" w:space="0"/>
              <w:right w:val="single" w:color="000000" w:sz="4" w:space="0"/>
            </w:tcBorders>
            <w:vAlign w:val="center"/>
          </w:tcPr>
          <w:p w14:paraId="32ED264E">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925" w:type="dxa"/>
            <w:tcBorders>
              <w:top w:val="single" w:color="000000" w:sz="4" w:space="0"/>
              <w:left w:val="single" w:color="000000" w:sz="4" w:space="0"/>
              <w:bottom w:val="single" w:color="000000" w:sz="4" w:space="0"/>
              <w:right w:val="single" w:color="000000" w:sz="4" w:space="0"/>
            </w:tcBorders>
            <w:vAlign w:val="center"/>
          </w:tcPr>
          <w:p w14:paraId="21504D18">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925" w:type="dxa"/>
            <w:tcBorders>
              <w:top w:val="single" w:color="000000" w:sz="4" w:space="0"/>
              <w:left w:val="single" w:color="000000" w:sz="4" w:space="0"/>
              <w:bottom w:val="single" w:color="000000" w:sz="4" w:space="0"/>
              <w:right w:val="single" w:color="000000" w:sz="4" w:space="0"/>
            </w:tcBorders>
            <w:vAlign w:val="center"/>
          </w:tcPr>
          <w:p w14:paraId="5D4E2AAB">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614" w:type="dxa"/>
            <w:gridSpan w:val="3"/>
            <w:tcBorders>
              <w:top w:val="single" w:color="000000" w:sz="4" w:space="0"/>
              <w:left w:val="single" w:color="000000" w:sz="4" w:space="0"/>
              <w:bottom w:val="single" w:color="000000" w:sz="4" w:space="0"/>
              <w:right w:val="single" w:color="000000" w:sz="4" w:space="0"/>
            </w:tcBorders>
            <w:vAlign w:val="center"/>
          </w:tcPr>
          <w:p w14:paraId="3DC982A4">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970" w:type="dxa"/>
            <w:tcBorders>
              <w:top w:val="single" w:color="000000" w:sz="4" w:space="0"/>
              <w:left w:val="single" w:color="000000" w:sz="4" w:space="0"/>
              <w:bottom w:val="single" w:color="000000" w:sz="4" w:space="0"/>
              <w:right w:val="single" w:color="000000" w:sz="4" w:space="0"/>
            </w:tcBorders>
            <w:vAlign w:val="center"/>
          </w:tcPr>
          <w:p w14:paraId="6367208F">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805" w:type="dxa"/>
            <w:tcBorders>
              <w:top w:val="single" w:color="000000" w:sz="4" w:space="0"/>
              <w:left w:val="single" w:color="000000" w:sz="4" w:space="0"/>
              <w:bottom w:val="single" w:color="000000" w:sz="4" w:space="0"/>
              <w:right w:val="single" w:color="000000" w:sz="4" w:space="0"/>
            </w:tcBorders>
            <w:vAlign w:val="center"/>
          </w:tcPr>
          <w:p w14:paraId="76E9EA52">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731" w:type="dxa"/>
            <w:tcBorders>
              <w:top w:val="single" w:color="000000" w:sz="4" w:space="0"/>
              <w:left w:val="single" w:color="000000" w:sz="4" w:space="0"/>
              <w:bottom w:val="single" w:color="000000" w:sz="4" w:space="0"/>
              <w:right w:val="single" w:color="000000" w:sz="4" w:space="0"/>
            </w:tcBorders>
            <w:vAlign w:val="center"/>
          </w:tcPr>
          <w:p w14:paraId="2C80045C">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918" w:type="dxa"/>
            <w:tcBorders>
              <w:top w:val="single" w:color="000000" w:sz="4" w:space="0"/>
              <w:left w:val="single" w:color="000000" w:sz="4" w:space="0"/>
              <w:bottom w:val="single" w:color="000000" w:sz="4" w:space="0"/>
              <w:right w:val="single" w:color="000000" w:sz="4" w:space="0"/>
            </w:tcBorders>
            <w:vAlign w:val="center"/>
          </w:tcPr>
          <w:p w14:paraId="20E9E247">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4B034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75B5CF99">
            <w:pPr>
              <w:jc w:val="cente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1C1EDC42">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925" w:type="dxa"/>
            <w:tcBorders>
              <w:top w:val="single" w:color="000000" w:sz="4" w:space="0"/>
              <w:left w:val="single" w:color="000000" w:sz="4" w:space="0"/>
              <w:bottom w:val="single" w:color="000000" w:sz="4" w:space="0"/>
              <w:right w:val="single" w:color="000000" w:sz="4" w:space="0"/>
            </w:tcBorders>
            <w:vAlign w:val="center"/>
          </w:tcPr>
          <w:p w14:paraId="74B027C3">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2.19</w:t>
            </w:r>
          </w:p>
        </w:tc>
        <w:tc>
          <w:tcPr>
            <w:tcW w:w="925" w:type="dxa"/>
            <w:tcBorders>
              <w:top w:val="single" w:color="000000" w:sz="4" w:space="0"/>
              <w:left w:val="single" w:color="000000" w:sz="4" w:space="0"/>
              <w:bottom w:val="single" w:color="000000" w:sz="4" w:space="0"/>
              <w:right w:val="single" w:color="000000" w:sz="4" w:space="0"/>
            </w:tcBorders>
            <w:vAlign w:val="center"/>
          </w:tcPr>
          <w:p w14:paraId="501008ED">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2.19</w:t>
            </w:r>
          </w:p>
        </w:tc>
        <w:tc>
          <w:tcPr>
            <w:tcW w:w="2614" w:type="dxa"/>
            <w:gridSpan w:val="3"/>
            <w:tcBorders>
              <w:top w:val="single" w:color="000000" w:sz="4" w:space="0"/>
              <w:left w:val="single" w:color="000000" w:sz="4" w:space="0"/>
              <w:bottom w:val="single" w:color="000000" w:sz="4" w:space="0"/>
              <w:right w:val="single" w:color="000000" w:sz="4" w:space="0"/>
            </w:tcBorders>
            <w:vAlign w:val="center"/>
          </w:tcPr>
          <w:p w14:paraId="59769E37">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2.19</w:t>
            </w:r>
          </w:p>
        </w:tc>
        <w:tc>
          <w:tcPr>
            <w:tcW w:w="970" w:type="dxa"/>
            <w:tcBorders>
              <w:top w:val="single" w:color="000000" w:sz="4" w:space="0"/>
              <w:left w:val="single" w:color="000000" w:sz="4" w:space="0"/>
              <w:bottom w:val="single" w:color="000000" w:sz="4" w:space="0"/>
              <w:right w:val="single" w:color="000000" w:sz="4" w:space="0"/>
            </w:tcBorders>
            <w:vAlign w:val="center"/>
          </w:tcPr>
          <w:p w14:paraId="56F483FB">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805" w:type="dxa"/>
            <w:tcBorders>
              <w:top w:val="single" w:color="000000" w:sz="4" w:space="0"/>
              <w:left w:val="single" w:color="000000" w:sz="4" w:space="0"/>
              <w:bottom w:val="single" w:color="000000" w:sz="4" w:space="0"/>
              <w:right w:val="single" w:color="000000" w:sz="4" w:space="0"/>
            </w:tcBorders>
            <w:vAlign w:val="center"/>
          </w:tcPr>
          <w:p w14:paraId="452B194D">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31" w:type="dxa"/>
            <w:tcBorders>
              <w:top w:val="single" w:color="000000" w:sz="4" w:space="0"/>
              <w:left w:val="single" w:color="000000" w:sz="4" w:space="0"/>
              <w:bottom w:val="single" w:color="000000" w:sz="4" w:space="0"/>
              <w:right w:val="single" w:color="000000" w:sz="4" w:space="0"/>
            </w:tcBorders>
            <w:vAlign w:val="center"/>
          </w:tcPr>
          <w:p w14:paraId="7364FEB5">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18" w:type="dxa"/>
            <w:vMerge w:val="restart"/>
            <w:tcBorders>
              <w:top w:val="single" w:color="000000" w:sz="4" w:space="0"/>
              <w:left w:val="single" w:color="000000" w:sz="4" w:space="0"/>
              <w:bottom w:val="single" w:color="000000" w:sz="4" w:space="0"/>
              <w:right w:val="single" w:color="000000" w:sz="4" w:space="0"/>
            </w:tcBorders>
            <w:vAlign w:val="center"/>
          </w:tcPr>
          <w:p w14:paraId="7D958ADA">
            <w:pPr>
              <w:rPr>
                <w:rFonts w:hint="eastAsia" w:ascii="黑体" w:hAnsi="黑体" w:eastAsia="黑体" w:cs="黑体"/>
                <w:i/>
                <w:iCs/>
                <w:color w:val="000000"/>
                <w:sz w:val="18"/>
                <w:szCs w:val="18"/>
                <w:u w:val="none"/>
              </w:rPr>
            </w:pPr>
          </w:p>
        </w:tc>
      </w:tr>
      <w:tr w14:paraId="12459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72A5BE28">
            <w:pPr>
              <w:jc w:val="cente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29D41521">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925" w:type="dxa"/>
            <w:tcBorders>
              <w:top w:val="single" w:color="000000" w:sz="4" w:space="0"/>
              <w:left w:val="single" w:color="000000" w:sz="4" w:space="0"/>
              <w:bottom w:val="single" w:color="000000" w:sz="4" w:space="0"/>
              <w:right w:val="single" w:color="000000" w:sz="4" w:space="0"/>
            </w:tcBorders>
            <w:vAlign w:val="center"/>
          </w:tcPr>
          <w:p w14:paraId="1C6F529B">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2.19</w:t>
            </w:r>
          </w:p>
        </w:tc>
        <w:tc>
          <w:tcPr>
            <w:tcW w:w="925" w:type="dxa"/>
            <w:tcBorders>
              <w:top w:val="single" w:color="000000" w:sz="4" w:space="0"/>
              <w:left w:val="single" w:color="000000" w:sz="4" w:space="0"/>
              <w:bottom w:val="single" w:color="000000" w:sz="4" w:space="0"/>
              <w:right w:val="single" w:color="000000" w:sz="4" w:space="0"/>
            </w:tcBorders>
            <w:vAlign w:val="center"/>
          </w:tcPr>
          <w:p w14:paraId="2E993532">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2.19</w:t>
            </w:r>
          </w:p>
        </w:tc>
        <w:tc>
          <w:tcPr>
            <w:tcW w:w="2614" w:type="dxa"/>
            <w:gridSpan w:val="3"/>
            <w:tcBorders>
              <w:top w:val="single" w:color="000000" w:sz="4" w:space="0"/>
              <w:left w:val="single" w:color="000000" w:sz="4" w:space="0"/>
              <w:bottom w:val="single" w:color="000000" w:sz="4" w:space="0"/>
              <w:right w:val="single" w:color="000000" w:sz="4" w:space="0"/>
            </w:tcBorders>
            <w:vAlign w:val="center"/>
          </w:tcPr>
          <w:p w14:paraId="7FC04B1F">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2.19</w:t>
            </w:r>
          </w:p>
        </w:tc>
        <w:tc>
          <w:tcPr>
            <w:tcW w:w="970" w:type="dxa"/>
            <w:tcBorders>
              <w:top w:val="single" w:color="000000" w:sz="4" w:space="0"/>
              <w:left w:val="single" w:color="000000" w:sz="4" w:space="0"/>
              <w:bottom w:val="single" w:color="000000" w:sz="4" w:space="0"/>
              <w:right w:val="single" w:color="000000" w:sz="4" w:space="0"/>
            </w:tcBorders>
            <w:vAlign w:val="center"/>
          </w:tcPr>
          <w:p w14:paraId="4C96D94A">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805" w:type="dxa"/>
            <w:tcBorders>
              <w:top w:val="single" w:color="000000" w:sz="4" w:space="0"/>
              <w:left w:val="single" w:color="000000" w:sz="4" w:space="0"/>
              <w:bottom w:val="single" w:color="000000" w:sz="4" w:space="0"/>
              <w:right w:val="single" w:color="000000" w:sz="4" w:space="0"/>
            </w:tcBorders>
            <w:vAlign w:val="center"/>
          </w:tcPr>
          <w:p w14:paraId="6859D687">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31" w:type="dxa"/>
            <w:tcBorders>
              <w:top w:val="single" w:color="000000" w:sz="4" w:space="0"/>
              <w:left w:val="single" w:color="000000" w:sz="4" w:space="0"/>
              <w:bottom w:val="single" w:color="000000" w:sz="4" w:space="0"/>
              <w:right w:val="single" w:color="000000" w:sz="4" w:space="0"/>
            </w:tcBorders>
            <w:vAlign w:val="center"/>
          </w:tcPr>
          <w:p w14:paraId="238081A6">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18" w:type="dxa"/>
            <w:vMerge w:val="continue"/>
            <w:tcBorders>
              <w:top w:val="single" w:color="000000" w:sz="4" w:space="0"/>
              <w:left w:val="single" w:color="000000" w:sz="4" w:space="0"/>
              <w:bottom w:val="single" w:color="000000" w:sz="4" w:space="0"/>
              <w:right w:val="single" w:color="000000" w:sz="4" w:space="0"/>
            </w:tcBorders>
            <w:vAlign w:val="center"/>
          </w:tcPr>
          <w:p w14:paraId="415A9E17">
            <w:pPr>
              <w:rPr>
                <w:rFonts w:hint="eastAsia" w:ascii="黑体" w:hAnsi="黑体" w:eastAsia="黑体" w:cs="黑体"/>
                <w:i/>
                <w:iCs/>
                <w:color w:val="000000"/>
                <w:sz w:val="18"/>
                <w:szCs w:val="18"/>
                <w:u w:val="none"/>
              </w:rPr>
            </w:pPr>
          </w:p>
        </w:tc>
      </w:tr>
      <w:tr w14:paraId="06B74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413B1C06">
            <w:pPr>
              <w:jc w:val="cente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111B20B8">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925" w:type="dxa"/>
            <w:tcBorders>
              <w:top w:val="single" w:color="000000" w:sz="4" w:space="0"/>
              <w:left w:val="single" w:color="000000" w:sz="4" w:space="0"/>
              <w:bottom w:val="single" w:color="000000" w:sz="4" w:space="0"/>
              <w:right w:val="single" w:color="000000" w:sz="4" w:space="0"/>
            </w:tcBorders>
            <w:vAlign w:val="center"/>
          </w:tcPr>
          <w:p w14:paraId="6521CDF2">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25" w:type="dxa"/>
            <w:tcBorders>
              <w:top w:val="single" w:color="000000" w:sz="4" w:space="0"/>
              <w:left w:val="single" w:color="000000" w:sz="4" w:space="0"/>
              <w:bottom w:val="single" w:color="000000" w:sz="4" w:space="0"/>
              <w:right w:val="single" w:color="000000" w:sz="4" w:space="0"/>
            </w:tcBorders>
            <w:vAlign w:val="center"/>
          </w:tcPr>
          <w:p w14:paraId="721251CC">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614" w:type="dxa"/>
            <w:gridSpan w:val="3"/>
            <w:tcBorders>
              <w:top w:val="single" w:color="000000" w:sz="4" w:space="0"/>
              <w:left w:val="single" w:color="000000" w:sz="4" w:space="0"/>
              <w:bottom w:val="single" w:color="000000" w:sz="4" w:space="0"/>
              <w:right w:val="single" w:color="000000" w:sz="4" w:space="0"/>
            </w:tcBorders>
            <w:vAlign w:val="center"/>
          </w:tcPr>
          <w:p w14:paraId="6448363B">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70" w:type="dxa"/>
            <w:tcBorders>
              <w:top w:val="single" w:color="000000" w:sz="4" w:space="0"/>
              <w:left w:val="single" w:color="000000" w:sz="4" w:space="0"/>
              <w:bottom w:val="single" w:color="000000" w:sz="4" w:space="0"/>
              <w:right w:val="single" w:color="000000" w:sz="4" w:space="0"/>
            </w:tcBorders>
            <w:vAlign w:val="center"/>
          </w:tcPr>
          <w:p w14:paraId="3EFC0370">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05" w:type="dxa"/>
            <w:tcBorders>
              <w:top w:val="single" w:color="000000" w:sz="4" w:space="0"/>
              <w:left w:val="single" w:color="000000" w:sz="4" w:space="0"/>
              <w:bottom w:val="single" w:color="000000" w:sz="4" w:space="0"/>
              <w:right w:val="single" w:color="000000" w:sz="4" w:space="0"/>
            </w:tcBorders>
            <w:vAlign w:val="center"/>
          </w:tcPr>
          <w:p w14:paraId="52D5182A">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31" w:type="dxa"/>
            <w:tcBorders>
              <w:top w:val="single" w:color="000000" w:sz="4" w:space="0"/>
              <w:left w:val="single" w:color="000000" w:sz="4" w:space="0"/>
              <w:bottom w:val="single" w:color="000000" w:sz="4" w:space="0"/>
              <w:right w:val="single" w:color="000000" w:sz="4" w:space="0"/>
            </w:tcBorders>
            <w:vAlign w:val="center"/>
          </w:tcPr>
          <w:p w14:paraId="5AD3AC45">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18" w:type="dxa"/>
            <w:vMerge w:val="continue"/>
            <w:tcBorders>
              <w:top w:val="single" w:color="000000" w:sz="4" w:space="0"/>
              <w:left w:val="single" w:color="000000" w:sz="4" w:space="0"/>
              <w:bottom w:val="single" w:color="000000" w:sz="4" w:space="0"/>
              <w:right w:val="single" w:color="000000" w:sz="4" w:space="0"/>
            </w:tcBorders>
            <w:vAlign w:val="center"/>
          </w:tcPr>
          <w:p w14:paraId="52E03B85">
            <w:pPr>
              <w:rPr>
                <w:rFonts w:hint="eastAsia" w:ascii="黑体" w:hAnsi="黑体" w:eastAsia="黑体" w:cs="黑体"/>
                <w:i/>
                <w:iCs/>
                <w:color w:val="000000"/>
                <w:sz w:val="18"/>
                <w:szCs w:val="18"/>
                <w:u w:val="none"/>
              </w:rPr>
            </w:pPr>
          </w:p>
        </w:tc>
      </w:tr>
      <w:tr w14:paraId="5E9C5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63178E41">
            <w:pPr>
              <w:jc w:val="cente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1A952FC9">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925" w:type="dxa"/>
            <w:tcBorders>
              <w:top w:val="single" w:color="000000" w:sz="4" w:space="0"/>
              <w:left w:val="single" w:color="000000" w:sz="4" w:space="0"/>
              <w:bottom w:val="single" w:color="000000" w:sz="4" w:space="0"/>
              <w:right w:val="single" w:color="000000" w:sz="4" w:space="0"/>
            </w:tcBorders>
            <w:vAlign w:val="center"/>
          </w:tcPr>
          <w:p w14:paraId="1256AA4A">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25" w:type="dxa"/>
            <w:tcBorders>
              <w:top w:val="single" w:color="000000" w:sz="4" w:space="0"/>
              <w:left w:val="single" w:color="000000" w:sz="4" w:space="0"/>
              <w:bottom w:val="single" w:color="000000" w:sz="4" w:space="0"/>
              <w:right w:val="single" w:color="000000" w:sz="4" w:space="0"/>
            </w:tcBorders>
            <w:vAlign w:val="center"/>
          </w:tcPr>
          <w:p w14:paraId="463B99CB">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614" w:type="dxa"/>
            <w:gridSpan w:val="3"/>
            <w:tcBorders>
              <w:top w:val="single" w:color="000000" w:sz="4" w:space="0"/>
              <w:left w:val="single" w:color="000000" w:sz="4" w:space="0"/>
              <w:bottom w:val="single" w:color="000000" w:sz="4" w:space="0"/>
              <w:right w:val="single" w:color="000000" w:sz="4" w:space="0"/>
            </w:tcBorders>
            <w:vAlign w:val="center"/>
          </w:tcPr>
          <w:p w14:paraId="14CF488F">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70" w:type="dxa"/>
            <w:tcBorders>
              <w:top w:val="single" w:color="000000" w:sz="4" w:space="0"/>
              <w:left w:val="single" w:color="000000" w:sz="4" w:space="0"/>
              <w:bottom w:val="single" w:color="000000" w:sz="4" w:space="0"/>
              <w:right w:val="single" w:color="000000" w:sz="4" w:space="0"/>
            </w:tcBorders>
            <w:vAlign w:val="center"/>
          </w:tcPr>
          <w:p w14:paraId="74D8704C">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05" w:type="dxa"/>
            <w:tcBorders>
              <w:top w:val="single" w:color="000000" w:sz="4" w:space="0"/>
              <w:left w:val="single" w:color="000000" w:sz="4" w:space="0"/>
              <w:bottom w:val="single" w:color="000000" w:sz="4" w:space="0"/>
              <w:right w:val="single" w:color="000000" w:sz="4" w:space="0"/>
            </w:tcBorders>
            <w:vAlign w:val="center"/>
          </w:tcPr>
          <w:p w14:paraId="6EC2533A">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31" w:type="dxa"/>
            <w:tcBorders>
              <w:top w:val="single" w:color="000000" w:sz="4" w:space="0"/>
              <w:left w:val="single" w:color="000000" w:sz="4" w:space="0"/>
              <w:bottom w:val="single" w:color="000000" w:sz="4" w:space="0"/>
              <w:right w:val="single" w:color="000000" w:sz="4" w:space="0"/>
            </w:tcBorders>
            <w:vAlign w:val="center"/>
          </w:tcPr>
          <w:p w14:paraId="2FCB995B">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18" w:type="dxa"/>
            <w:vMerge w:val="continue"/>
            <w:tcBorders>
              <w:top w:val="single" w:color="000000" w:sz="4" w:space="0"/>
              <w:left w:val="single" w:color="000000" w:sz="4" w:space="0"/>
              <w:bottom w:val="single" w:color="000000" w:sz="4" w:space="0"/>
              <w:right w:val="single" w:color="000000" w:sz="4" w:space="0"/>
            </w:tcBorders>
            <w:vAlign w:val="center"/>
          </w:tcPr>
          <w:p w14:paraId="4879C91C">
            <w:pPr>
              <w:rPr>
                <w:rFonts w:hint="eastAsia" w:ascii="黑体" w:hAnsi="黑体" w:eastAsia="黑体" w:cs="黑体"/>
                <w:i/>
                <w:iCs/>
                <w:color w:val="000000"/>
                <w:sz w:val="18"/>
                <w:szCs w:val="18"/>
                <w:u w:val="none"/>
              </w:rPr>
            </w:pPr>
          </w:p>
        </w:tc>
      </w:tr>
      <w:tr w14:paraId="5D021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199D1606">
            <w:pPr>
              <w:jc w:val="cente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6F765739">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925" w:type="dxa"/>
            <w:tcBorders>
              <w:top w:val="single" w:color="000000" w:sz="4" w:space="0"/>
              <w:left w:val="single" w:color="000000" w:sz="4" w:space="0"/>
              <w:bottom w:val="single" w:color="000000" w:sz="4" w:space="0"/>
              <w:right w:val="single" w:color="000000" w:sz="4" w:space="0"/>
            </w:tcBorders>
            <w:vAlign w:val="center"/>
          </w:tcPr>
          <w:p w14:paraId="5084C27A">
            <w:pPr>
              <w:jc w:val="center"/>
              <w:rPr>
                <w:rFonts w:hint="eastAsia" w:ascii="微软雅黑" w:hAnsi="微软雅黑" w:eastAsia="微软雅黑" w:cs="微软雅黑"/>
                <w:i/>
                <w:iCs/>
                <w:color w:val="000000"/>
                <w:sz w:val="16"/>
                <w:szCs w:val="16"/>
                <w:u w:val="none"/>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2374F692">
            <w:pPr>
              <w:jc w:val="center"/>
              <w:rPr>
                <w:rFonts w:hint="eastAsia" w:ascii="微软雅黑" w:hAnsi="微软雅黑" w:eastAsia="微软雅黑" w:cs="微软雅黑"/>
                <w:i/>
                <w:iCs/>
                <w:color w:val="000000"/>
                <w:sz w:val="16"/>
                <w:szCs w:val="16"/>
                <w:u w:val="none"/>
              </w:rPr>
            </w:pPr>
          </w:p>
        </w:tc>
        <w:tc>
          <w:tcPr>
            <w:tcW w:w="2614" w:type="dxa"/>
            <w:gridSpan w:val="3"/>
            <w:tcBorders>
              <w:top w:val="single" w:color="000000" w:sz="4" w:space="0"/>
              <w:left w:val="single" w:color="000000" w:sz="4" w:space="0"/>
              <w:bottom w:val="single" w:color="000000" w:sz="4" w:space="0"/>
              <w:right w:val="single" w:color="000000" w:sz="4" w:space="0"/>
            </w:tcBorders>
            <w:vAlign w:val="center"/>
          </w:tcPr>
          <w:p w14:paraId="20199692">
            <w:pPr>
              <w:jc w:val="center"/>
              <w:rPr>
                <w:rFonts w:hint="eastAsia" w:ascii="微软雅黑" w:hAnsi="微软雅黑" w:eastAsia="微软雅黑" w:cs="微软雅黑"/>
                <w:i/>
                <w:iCs/>
                <w:color w:val="000000"/>
                <w:sz w:val="16"/>
                <w:szCs w:val="16"/>
                <w:u w:val="none"/>
              </w:rPr>
            </w:pPr>
          </w:p>
        </w:tc>
        <w:tc>
          <w:tcPr>
            <w:tcW w:w="970" w:type="dxa"/>
            <w:tcBorders>
              <w:top w:val="single" w:color="000000" w:sz="4" w:space="0"/>
              <w:left w:val="single" w:color="000000" w:sz="4" w:space="0"/>
              <w:bottom w:val="single" w:color="000000" w:sz="4" w:space="0"/>
              <w:right w:val="single" w:color="000000" w:sz="4" w:space="0"/>
            </w:tcBorders>
            <w:vAlign w:val="center"/>
          </w:tcPr>
          <w:p w14:paraId="38019C39">
            <w:pPr>
              <w:jc w:val="center"/>
              <w:rPr>
                <w:rFonts w:hint="eastAsia" w:ascii="微软雅黑" w:hAnsi="微软雅黑" w:eastAsia="微软雅黑" w:cs="微软雅黑"/>
                <w:i/>
                <w:iCs/>
                <w:color w:val="000000"/>
                <w:sz w:val="16"/>
                <w:szCs w:val="16"/>
                <w:u w:val="none"/>
              </w:rPr>
            </w:pPr>
          </w:p>
        </w:tc>
        <w:tc>
          <w:tcPr>
            <w:tcW w:w="805" w:type="dxa"/>
            <w:tcBorders>
              <w:top w:val="single" w:color="000000" w:sz="4" w:space="0"/>
              <w:left w:val="single" w:color="000000" w:sz="4" w:space="0"/>
              <w:bottom w:val="single" w:color="000000" w:sz="4" w:space="0"/>
              <w:right w:val="single" w:color="000000" w:sz="4" w:space="0"/>
            </w:tcBorders>
            <w:vAlign w:val="center"/>
          </w:tcPr>
          <w:p w14:paraId="556E077C">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31" w:type="dxa"/>
            <w:tcBorders>
              <w:top w:val="single" w:color="000000" w:sz="4" w:space="0"/>
              <w:left w:val="single" w:color="000000" w:sz="4" w:space="0"/>
              <w:bottom w:val="single" w:color="000000" w:sz="4" w:space="0"/>
              <w:right w:val="single" w:color="000000" w:sz="4" w:space="0"/>
            </w:tcBorders>
            <w:vAlign w:val="center"/>
          </w:tcPr>
          <w:p w14:paraId="17A1A260">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18" w:type="dxa"/>
            <w:vMerge w:val="continue"/>
            <w:tcBorders>
              <w:top w:val="single" w:color="000000" w:sz="4" w:space="0"/>
              <w:left w:val="single" w:color="000000" w:sz="4" w:space="0"/>
              <w:bottom w:val="single" w:color="000000" w:sz="4" w:space="0"/>
              <w:right w:val="single" w:color="000000" w:sz="4" w:space="0"/>
            </w:tcBorders>
            <w:vAlign w:val="center"/>
          </w:tcPr>
          <w:p w14:paraId="5E1D481A">
            <w:pPr>
              <w:rPr>
                <w:rFonts w:hint="eastAsia" w:ascii="黑体" w:hAnsi="黑体" w:eastAsia="黑体" w:cs="黑体"/>
                <w:i/>
                <w:iCs/>
                <w:color w:val="000000"/>
                <w:sz w:val="18"/>
                <w:szCs w:val="18"/>
                <w:u w:val="none"/>
              </w:rPr>
            </w:pPr>
          </w:p>
        </w:tc>
      </w:tr>
      <w:tr w14:paraId="22758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restart"/>
            <w:tcBorders>
              <w:top w:val="single" w:color="000000" w:sz="4" w:space="0"/>
              <w:left w:val="single" w:color="000000" w:sz="4" w:space="0"/>
              <w:bottom w:val="single" w:color="000000" w:sz="4" w:space="0"/>
              <w:right w:val="single" w:color="000000" w:sz="4" w:space="0"/>
            </w:tcBorders>
            <w:vAlign w:val="center"/>
          </w:tcPr>
          <w:p w14:paraId="3A14D5EA">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953" w:type="dxa"/>
            <w:tcBorders>
              <w:top w:val="single" w:color="000000" w:sz="4" w:space="0"/>
              <w:left w:val="single" w:color="000000" w:sz="4" w:space="0"/>
              <w:bottom w:val="single" w:color="000000" w:sz="4" w:space="0"/>
              <w:right w:val="single" w:color="000000" w:sz="4" w:space="0"/>
            </w:tcBorders>
            <w:vAlign w:val="center"/>
          </w:tcPr>
          <w:p w14:paraId="53D0CA4D">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925" w:type="dxa"/>
            <w:tcBorders>
              <w:top w:val="single" w:color="000000" w:sz="4" w:space="0"/>
              <w:left w:val="single" w:color="000000" w:sz="4" w:space="0"/>
              <w:bottom w:val="single" w:color="000000" w:sz="4" w:space="0"/>
              <w:right w:val="single" w:color="000000" w:sz="4" w:space="0"/>
            </w:tcBorders>
            <w:vAlign w:val="center"/>
          </w:tcPr>
          <w:p w14:paraId="16A453F8">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925" w:type="dxa"/>
            <w:tcBorders>
              <w:top w:val="single" w:color="000000" w:sz="4" w:space="0"/>
              <w:left w:val="single" w:color="000000" w:sz="4" w:space="0"/>
              <w:bottom w:val="single" w:color="000000" w:sz="4" w:space="0"/>
              <w:right w:val="single" w:color="000000" w:sz="4" w:space="0"/>
            </w:tcBorders>
            <w:vAlign w:val="center"/>
          </w:tcPr>
          <w:p w14:paraId="1C0899D8">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892" w:type="dxa"/>
            <w:tcBorders>
              <w:top w:val="single" w:color="000000" w:sz="4" w:space="0"/>
              <w:left w:val="single" w:color="000000" w:sz="4" w:space="0"/>
              <w:bottom w:val="single" w:color="000000" w:sz="4" w:space="0"/>
              <w:right w:val="single" w:color="000000" w:sz="4" w:space="0"/>
            </w:tcBorders>
            <w:vAlign w:val="center"/>
          </w:tcPr>
          <w:p w14:paraId="2BC664AD">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909" w:type="dxa"/>
            <w:tcBorders>
              <w:top w:val="single" w:color="000000" w:sz="4" w:space="0"/>
              <w:left w:val="single" w:color="000000" w:sz="4" w:space="0"/>
              <w:bottom w:val="single" w:color="000000" w:sz="4" w:space="0"/>
              <w:right w:val="single" w:color="000000" w:sz="4" w:space="0"/>
            </w:tcBorders>
            <w:vAlign w:val="center"/>
          </w:tcPr>
          <w:p w14:paraId="62072C7E">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813" w:type="dxa"/>
            <w:tcBorders>
              <w:top w:val="single" w:color="000000" w:sz="4" w:space="0"/>
              <w:left w:val="single" w:color="000000" w:sz="4" w:space="0"/>
              <w:bottom w:val="single" w:color="000000" w:sz="4" w:space="0"/>
              <w:right w:val="single" w:color="000000" w:sz="4" w:space="0"/>
            </w:tcBorders>
            <w:vAlign w:val="center"/>
          </w:tcPr>
          <w:p w14:paraId="24A4BDC1">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970" w:type="dxa"/>
            <w:tcBorders>
              <w:top w:val="single" w:color="000000" w:sz="4" w:space="0"/>
              <w:left w:val="single" w:color="000000" w:sz="4" w:space="0"/>
              <w:bottom w:val="single" w:color="000000" w:sz="4" w:space="0"/>
              <w:right w:val="single" w:color="000000" w:sz="4" w:space="0"/>
            </w:tcBorders>
            <w:vAlign w:val="center"/>
          </w:tcPr>
          <w:p w14:paraId="0B46FEEC">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805" w:type="dxa"/>
            <w:tcBorders>
              <w:top w:val="single" w:color="000000" w:sz="4" w:space="0"/>
              <w:left w:val="single" w:color="000000" w:sz="4" w:space="0"/>
              <w:bottom w:val="single" w:color="000000" w:sz="4" w:space="0"/>
              <w:right w:val="single" w:color="000000" w:sz="4" w:space="0"/>
            </w:tcBorders>
            <w:vAlign w:val="center"/>
          </w:tcPr>
          <w:p w14:paraId="09EB68CC">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731" w:type="dxa"/>
            <w:tcBorders>
              <w:top w:val="single" w:color="000000" w:sz="4" w:space="0"/>
              <w:left w:val="single" w:color="000000" w:sz="4" w:space="0"/>
              <w:bottom w:val="single" w:color="000000" w:sz="4" w:space="0"/>
              <w:right w:val="single" w:color="000000" w:sz="4" w:space="0"/>
            </w:tcBorders>
            <w:vAlign w:val="center"/>
          </w:tcPr>
          <w:p w14:paraId="46866AFB">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918" w:type="dxa"/>
            <w:tcBorders>
              <w:top w:val="single" w:color="000000" w:sz="4" w:space="0"/>
              <w:left w:val="single" w:color="000000" w:sz="4" w:space="0"/>
              <w:bottom w:val="single" w:color="000000" w:sz="4" w:space="0"/>
              <w:right w:val="single" w:color="000000" w:sz="4" w:space="0"/>
            </w:tcBorders>
            <w:vAlign w:val="center"/>
          </w:tcPr>
          <w:p w14:paraId="47EA5864">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67A58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115E7406">
            <w:pPr>
              <w:jc w:val="center"/>
              <w:rPr>
                <w:rFonts w:hint="eastAsia" w:ascii="宋体" w:hAnsi="宋体" w:eastAsia="宋体" w:cs="宋体"/>
                <w:i w:val="0"/>
                <w:iCs w:val="0"/>
                <w:color w:val="000000"/>
                <w:sz w:val="18"/>
                <w:szCs w:val="18"/>
                <w:u w:val="none"/>
              </w:rPr>
            </w:pPr>
          </w:p>
        </w:tc>
        <w:tc>
          <w:tcPr>
            <w:tcW w:w="953" w:type="dxa"/>
            <w:vMerge w:val="restart"/>
            <w:tcBorders>
              <w:top w:val="single" w:color="000000" w:sz="4" w:space="0"/>
              <w:left w:val="single" w:color="000000" w:sz="4" w:space="0"/>
              <w:bottom w:val="single" w:color="000000" w:sz="4" w:space="0"/>
              <w:right w:val="single" w:color="000000" w:sz="4" w:space="0"/>
            </w:tcBorders>
            <w:vAlign w:val="center"/>
          </w:tcPr>
          <w:p w14:paraId="167F01E8">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925" w:type="dxa"/>
            <w:vMerge w:val="restart"/>
            <w:tcBorders>
              <w:top w:val="single" w:color="000000" w:sz="4" w:space="0"/>
              <w:left w:val="single" w:color="000000" w:sz="4" w:space="0"/>
              <w:bottom w:val="single" w:color="000000" w:sz="4" w:space="0"/>
              <w:right w:val="single" w:color="000000" w:sz="4" w:space="0"/>
            </w:tcBorders>
            <w:vAlign w:val="center"/>
          </w:tcPr>
          <w:p w14:paraId="166D7263">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925" w:type="dxa"/>
            <w:tcBorders>
              <w:top w:val="single" w:color="000000" w:sz="4" w:space="0"/>
              <w:left w:val="single" w:color="000000" w:sz="4" w:space="0"/>
              <w:bottom w:val="single" w:color="000000" w:sz="4" w:space="0"/>
              <w:right w:val="single" w:color="000000" w:sz="4" w:space="0"/>
            </w:tcBorders>
            <w:vAlign w:val="center"/>
          </w:tcPr>
          <w:p w14:paraId="19E95E89">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足额保障率</w:t>
            </w:r>
          </w:p>
        </w:tc>
        <w:tc>
          <w:tcPr>
            <w:tcW w:w="892" w:type="dxa"/>
            <w:tcBorders>
              <w:top w:val="single" w:color="000000" w:sz="4" w:space="0"/>
              <w:left w:val="single" w:color="000000" w:sz="4" w:space="0"/>
              <w:bottom w:val="single" w:color="000000" w:sz="4" w:space="0"/>
              <w:right w:val="single" w:color="000000" w:sz="4" w:space="0"/>
            </w:tcBorders>
            <w:vAlign w:val="center"/>
          </w:tcPr>
          <w:p w14:paraId="6958D579">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09" w:type="dxa"/>
            <w:tcBorders>
              <w:top w:val="single" w:color="000000" w:sz="4" w:space="0"/>
              <w:left w:val="single" w:color="000000" w:sz="4" w:space="0"/>
              <w:bottom w:val="single" w:color="000000" w:sz="4" w:space="0"/>
              <w:right w:val="single" w:color="000000" w:sz="4" w:space="0"/>
            </w:tcBorders>
            <w:vAlign w:val="center"/>
          </w:tcPr>
          <w:p w14:paraId="5E6F9101">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813" w:type="dxa"/>
            <w:tcBorders>
              <w:top w:val="single" w:color="000000" w:sz="4" w:space="0"/>
              <w:left w:val="single" w:color="000000" w:sz="4" w:space="0"/>
              <w:bottom w:val="single" w:color="000000" w:sz="4" w:space="0"/>
              <w:right w:val="single" w:color="000000" w:sz="4" w:space="0"/>
            </w:tcBorders>
            <w:vAlign w:val="center"/>
          </w:tcPr>
          <w:p w14:paraId="3D040F6B">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70" w:type="dxa"/>
            <w:tcBorders>
              <w:top w:val="single" w:color="000000" w:sz="4" w:space="0"/>
              <w:left w:val="single" w:color="000000" w:sz="4" w:space="0"/>
              <w:bottom w:val="single" w:color="000000" w:sz="4" w:space="0"/>
              <w:right w:val="single" w:color="000000" w:sz="4" w:space="0"/>
            </w:tcBorders>
            <w:vAlign w:val="center"/>
          </w:tcPr>
          <w:p w14:paraId="63B692ED">
            <w:pPr>
              <w:jc w:val="center"/>
              <w:rPr>
                <w:rFonts w:hint="eastAsia" w:ascii="微软雅黑" w:hAnsi="微软雅黑" w:eastAsia="微软雅黑" w:cs="微软雅黑"/>
                <w:i/>
                <w:iCs/>
                <w:color w:val="000000"/>
                <w:sz w:val="16"/>
                <w:szCs w:val="16"/>
                <w:u w:val="none"/>
              </w:rPr>
            </w:pPr>
          </w:p>
        </w:tc>
        <w:tc>
          <w:tcPr>
            <w:tcW w:w="805" w:type="dxa"/>
            <w:tcBorders>
              <w:top w:val="single" w:color="000000" w:sz="4" w:space="0"/>
              <w:left w:val="single" w:color="000000" w:sz="4" w:space="0"/>
              <w:bottom w:val="single" w:color="000000" w:sz="4" w:space="0"/>
              <w:right w:val="single" w:color="000000" w:sz="4" w:space="0"/>
            </w:tcBorders>
            <w:vAlign w:val="center"/>
          </w:tcPr>
          <w:p w14:paraId="4A992641">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22.5</w:t>
            </w:r>
          </w:p>
        </w:tc>
        <w:tc>
          <w:tcPr>
            <w:tcW w:w="731" w:type="dxa"/>
            <w:tcBorders>
              <w:top w:val="single" w:color="000000" w:sz="4" w:space="0"/>
              <w:left w:val="single" w:color="000000" w:sz="4" w:space="0"/>
              <w:bottom w:val="single" w:color="000000" w:sz="4" w:space="0"/>
              <w:right w:val="single" w:color="000000" w:sz="4" w:space="0"/>
            </w:tcBorders>
            <w:vAlign w:val="center"/>
          </w:tcPr>
          <w:p w14:paraId="2C90C1AE">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22.5</w:t>
            </w:r>
          </w:p>
        </w:tc>
        <w:tc>
          <w:tcPr>
            <w:tcW w:w="918" w:type="dxa"/>
            <w:tcBorders>
              <w:top w:val="single" w:color="000000" w:sz="4" w:space="0"/>
              <w:left w:val="single" w:color="000000" w:sz="4" w:space="0"/>
              <w:bottom w:val="single" w:color="000000" w:sz="4" w:space="0"/>
              <w:right w:val="single" w:color="000000" w:sz="4" w:space="0"/>
            </w:tcBorders>
            <w:vAlign w:val="center"/>
          </w:tcPr>
          <w:p w14:paraId="16713D61">
            <w:pPr>
              <w:jc w:val="center"/>
              <w:rPr>
                <w:rFonts w:hint="eastAsia" w:ascii="微软雅黑" w:hAnsi="微软雅黑" w:eastAsia="微软雅黑" w:cs="微软雅黑"/>
                <w:i/>
                <w:iCs/>
                <w:color w:val="000000"/>
                <w:sz w:val="16"/>
                <w:szCs w:val="16"/>
                <w:u w:val="none"/>
              </w:rPr>
            </w:pPr>
          </w:p>
        </w:tc>
      </w:tr>
      <w:tr w14:paraId="1C493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66A92B22">
            <w:pPr>
              <w:jc w:val="center"/>
              <w:rPr>
                <w:rFonts w:hint="eastAsia" w:ascii="宋体" w:hAnsi="宋体" w:eastAsia="宋体" w:cs="宋体"/>
                <w:i w:val="0"/>
                <w:iCs w:val="0"/>
                <w:color w:val="000000"/>
                <w:sz w:val="18"/>
                <w:szCs w:val="18"/>
                <w:u w:val="none"/>
              </w:rPr>
            </w:pPr>
          </w:p>
        </w:tc>
        <w:tc>
          <w:tcPr>
            <w:tcW w:w="953" w:type="dxa"/>
            <w:vMerge w:val="continue"/>
            <w:tcBorders>
              <w:top w:val="single" w:color="000000" w:sz="4" w:space="0"/>
              <w:left w:val="single" w:color="000000" w:sz="4" w:space="0"/>
              <w:bottom w:val="single" w:color="000000" w:sz="4" w:space="0"/>
              <w:right w:val="single" w:color="000000" w:sz="4" w:space="0"/>
            </w:tcBorders>
            <w:vAlign w:val="center"/>
          </w:tcPr>
          <w:p w14:paraId="0481C8F3">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vAlign w:val="center"/>
          </w:tcPr>
          <w:p w14:paraId="2EB99F6A">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1D5E9F5A">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科目调整次数</w:t>
            </w:r>
          </w:p>
        </w:tc>
        <w:tc>
          <w:tcPr>
            <w:tcW w:w="892" w:type="dxa"/>
            <w:tcBorders>
              <w:top w:val="single" w:color="000000" w:sz="4" w:space="0"/>
              <w:left w:val="single" w:color="000000" w:sz="4" w:space="0"/>
              <w:bottom w:val="single" w:color="000000" w:sz="4" w:space="0"/>
              <w:right w:val="single" w:color="000000" w:sz="4" w:space="0"/>
            </w:tcBorders>
            <w:vAlign w:val="center"/>
          </w:tcPr>
          <w:p w14:paraId="0EB43FD7">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09" w:type="dxa"/>
            <w:tcBorders>
              <w:top w:val="single" w:color="000000" w:sz="4" w:space="0"/>
              <w:left w:val="single" w:color="000000" w:sz="4" w:space="0"/>
              <w:bottom w:val="single" w:color="000000" w:sz="4" w:space="0"/>
              <w:right w:val="single" w:color="000000" w:sz="4" w:space="0"/>
            </w:tcBorders>
            <w:vAlign w:val="center"/>
          </w:tcPr>
          <w:p w14:paraId="2D6F1DBB">
            <w:pPr>
              <w:widowControl/>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rPr>
              <w:t>10</w:t>
            </w:r>
          </w:p>
        </w:tc>
        <w:tc>
          <w:tcPr>
            <w:tcW w:w="813" w:type="dxa"/>
            <w:tcBorders>
              <w:top w:val="single" w:color="000000" w:sz="4" w:space="0"/>
              <w:left w:val="single" w:color="000000" w:sz="4" w:space="0"/>
              <w:bottom w:val="single" w:color="000000" w:sz="4" w:space="0"/>
              <w:right w:val="single" w:color="000000" w:sz="4" w:space="0"/>
            </w:tcBorders>
            <w:vAlign w:val="center"/>
          </w:tcPr>
          <w:p w14:paraId="32CE9832">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次</w:t>
            </w:r>
          </w:p>
        </w:tc>
        <w:tc>
          <w:tcPr>
            <w:tcW w:w="970" w:type="dxa"/>
            <w:tcBorders>
              <w:top w:val="single" w:color="000000" w:sz="4" w:space="0"/>
              <w:left w:val="single" w:color="000000" w:sz="4" w:space="0"/>
              <w:bottom w:val="single" w:color="000000" w:sz="4" w:space="0"/>
              <w:right w:val="single" w:color="000000" w:sz="4" w:space="0"/>
            </w:tcBorders>
            <w:vAlign w:val="center"/>
          </w:tcPr>
          <w:p w14:paraId="0A35F77F">
            <w:pPr>
              <w:jc w:val="center"/>
              <w:rPr>
                <w:rFonts w:hint="eastAsia" w:ascii="微软雅黑" w:hAnsi="微软雅黑" w:eastAsia="微软雅黑" w:cs="微软雅黑"/>
                <w:i/>
                <w:iCs/>
                <w:color w:val="000000"/>
                <w:sz w:val="16"/>
                <w:szCs w:val="16"/>
                <w:u w:val="none"/>
              </w:rPr>
            </w:pPr>
          </w:p>
        </w:tc>
        <w:tc>
          <w:tcPr>
            <w:tcW w:w="805" w:type="dxa"/>
            <w:tcBorders>
              <w:top w:val="single" w:color="000000" w:sz="4" w:space="0"/>
              <w:left w:val="single" w:color="000000" w:sz="4" w:space="0"/>
              <w:bottom w:val="single" w:color="000000" w:sz="4" w:space="0"/>
              <w:right w:val="single" w:color="000000" w:sz="4" w:space="0"/>
            </w:tcBorders>
            <w:vAlign w:val="center"/>
          </w:tcPr>
          <w:p w14:paraId="1FCFCF66">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22.5</w:t>
            </w:r>
          </w:p>
        </w:tc>
        <w:tc>
          <w:tcPr>
            <w:tcW w:w="731" w:type="dxa"/>
            <w:tcBorders>
              <w:top w:val="single" w:color="000000" w:sz="4" w:space="0"/>
              <w:left w:val="single" w:color="000000" w:sz="4" w:space="0"/>
              <w:bottom w:val="single" w:color="000000" w:sz="4" w:space="0"/>
              <w:right w:val="single" w:color="000000" w:sz="4" w:space="0"/>
            </w:tcBorders>
            <w:vAlign w:val="center"/>
          </w:tcPr>
          <w:p w14:paraId="195E087A">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918" w:type="dxa"/>
            <w:tcBorders>
              <w:top w:val="single" w:color="000000" w:sz="4" w:space="0"/>
              <w:left w:val="single" w:color="000000" w:sz="4" w:space="0"/>
              <w:bottom w:val="single" w:color="000000" w:sz="4" w:space="0"/>
              <w:right w:val="single" w:color="000000" w:sz="4" w:space="0"/>
            </w:tcBorders>
            <w:vAlign w:val="center"/>
          </w:tcPr>
          <w:p w14:paraId="2AE4FCB5">
            <w:pPr>
              <w:jc w:val="center"/>
              <w:rPr>
                <w:rFonts w:hint="eastAsia" w:ascii="微软雅黑" w:hAnsi="微软雅黑" w:eastAsia="微软雅黑" w:cs="微软雅黑"/>
                <w:i/>
                <w:iCs/>
                <w:color w:val="000000"/>
                <w:sz w:val="16"/>
                <w:szCs w:val="16"/>
                <w:u w:val="none"/>
              </w:rPr>
            </w:pPr>
          </w:p>
        </w:tc>
      </w:tr>
      <w:tr w14:paraId="11619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45C3CF10">
            <w:pPr>
              <w:jc w:val="center"/>
              <w:rPr>
                <w:rFonts w:hint="eastAsia" w:ascii="宋体" w:hAnsi="宋体" w:eastAsia="宋体" w:cs="宋体"/>
                <w:i w:val="0"/>
                <w:iCs w:val="0"/>
                <w:color w:val="000000"/>
                <w:sz w:val="18"/>
                <w:szCs w:val="18"/>
                <w:u w:val="none"/>
              </w:rPr>
            </w:pPr>
          </w:p>
        </w:tc>
        <w:tc>
          <w:tcPr>
            <w:tcW w:w="953" w:type="dxa"/>
            <w:vMerge w:val="continue"/>
            <w:tcBorders>
              <w:top w:val="single" w:color="000000" w:sz="4" w:space="0"/>
              <w:left w:val="single" w:color="000000" w:sz="4" w:space="0"/>
              <w:bottom w:val="single" w:color="000000" w:sz="4" w:space="0"/>
              <w:right w:val="single" w:color="000000" w:sz="4" w:space="0"/>
            </w:tcBorders>
            <w:vAlign w:val="center"/>
          </w:tcPr>
          <w:p w14:paraId="50EBF99F">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1F29A3C7">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925" w:type="dxa"/>
            <w:tcBorders>
              <w:top w:val="single" w:color="000000" w:sz="4" w:space="0"/>
              <w:left w:val="single" w:color="000000" w:sz="4" w:space="0"/>
              <w:bottom w:val="single" w:color="000000" w:sz="4" w:space="0"/>
              <w:right w:val="single" w:color="000000" w:sz="4" w:space="0"/>
            </w:tcBorders>
            <w:vAlign w:val="center"/>
          </w:tcPr>
          <w:p w14:paraId="2632F84C">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按时发放率</w:t>
            </w:r>
          </w:p>
        </w:tc>
        <w:tc>
          <w:tcPr>
            <w:tcW w:w="892" w:type="dxa"/>
            <w:tcBorders>
              <w:top w:val="single" w:color="000000" w:sz="4" w:space="0"/>
              <w:left w:val="single" w:color="000000" w:sz="4" w:space="0"/>
              <w:bottom w:val="single" w:color="000000" w:sz="4" w:space="0"/>
              <w:right w:val="single" w:color="000000" w:sz="4" w:space="0"/>
            </w:tcBorders>
            <w:vAlign w:val="center"/>
          </w:tcPr>
          <w:p w14:paraId="373FAF1C">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09" w:type="dxa"/>
            <w:tcBorders>
              <w:top w:val="single" w:color="000000" w:sz="4" w:space="0"/>
              <w:left w:val="single" w:color="000000" w:sz="4" w:space="0"/>
              <w:bottom w:val="single" w:color="000000" w:sz="4" w:space="0"/>
              <w:right w:val="single" w:color="000000" w:sz="4" w:space="0"/>
            </w:tcBorders>
            <w:vAlign w:val="center"/>
          </w:tcPr>
          <w:p w14:paraId="06377613">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813" w:type="dxa"/>
            <w:tcBorders>
              <w:top w:val="single" w:color="000000" w:sz="4" w:space="0"/>
              <w:left w:val="single" w:color="000000" w:sz="4" w:space="0"/>
              <w:bottom w:val="single" w:color="000000" w:sz="4" w:space="0"/>
              <w:right w:val="single" w:color="000000" w:sz="4" w:space="0"/>
            </w:tcBorders>
            <w:vAlign w:val="center"/>
          </w:tcPr>
          <w:p w14:paraId="540C4C5D">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70" w:type="dxa"/>
            <w:tcBorders>
              <w:top w:val="single" w:color="000000" w:sz="4" w:space="0"/>
              <w:left w:val="single" w:color="000000" w:sz="4" w:space="0"/>
              <w:bottom w:val="single" w:color="000000" w:sz="4" w:space="0"/>
              <w:right w:val="single" w:color="000000" w:sz="4" w:space="0"/>
            </w:tcBorders>
            <w:vAlign w:val="center"/>
          </w:tcPr>
          <w:p w14:paraId="55656EF6">
            <w:pPr>
              <w:jc w:val="center"/>
              <w:rPr>
                <w:rFonts w:hint="eastAsia" w:ascii="微软雅黑" w:hAnsi="微软雅黑" w:eastAsia="微软雅黑" w:cs="微软雅黑"/>
                <w:i/>
                <w:iCs/>
                <w:color w:val="000000"/>
                <w:sz w:val="16"/>
                <w:szCs w:val="16"/>
                <w:u w:val="none"/>
              </w:rPr>
            </w:pPr>
          </w:p>
        </w:tc>
        <w:tc>
          <w:tcPr>
            <w:tcW w:w="805" w:type="dxa"/>
            <w:tcBorders>
              <w:top w:val="single" w:color="000000" w:sz="4" w:space="0"/>
              <w:left w:val="single" w:color="000000" w:sz="4" w:space="0"/>
              <w:bottom w:val="single" w:color="000000" w:sz="4" w:space="0"/>
              <w:right w:val="single" w:color="000000" w:sz="4" w:space="0"/>
            </w:tcBorders>
            <w:vAlign w:val="center"/>
          </w:tcPr>
          <w:p w14:paraId="52644407">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22.5</w:t>
            </w:r>
          </w:p>
        </w:tc>
        <w:tc>
          <w:tcPr>
            <w:tcW w:w="731" w:type="dxa"/>
            <w:tcBorders>
              <w:top w:val="single" w:color="000000" w:sz="4" w:space="0"/>
              <w:left w:val="single" w:color="000000" w:sz="4" w:space="0"/>
              <w:bottom w:val="single" w:color="000000" w:sz="4" w:space="0"/>
              <w:right w:val="single" w:color="000000" w:sz="4" w:space="0"/>
            </w:tcBorders>
            <w:vAlign w:val="center"/>
          </w:tcPr>
          <w:p w14:paraId="4C24EEF1">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918" w:type="dxa"/>
            <w:tcBorders>
              <w:top w:val="single" w:color="000000" w:sz="4" w:space="0"/>
              <w:left w:val="single" w:color="000000" w:sz="4" w:space="0"/>
              <w:bottom w:val="single" w:color="000000" w:sz="4" w:space="0"/>
              <w:right w:val="single" w:color="000000" w:sz="4" w:space="0"/>
            </w:tcBorders>
            <w:vAlign w:val="center"/>
          </w:tcPr>
          <w:p w14:paraId="4CEE5FDF">
            <w:pPr>
              <w:jc w:val="center"/>
              <w:rPr>
                <w:rFonts w:hint="eastAsia" w:ascii="微软雅黑" w:hAnsi="微软雅黑" w:eastAsia="微软雅黑" w:cs="微软雅黑"/>
                <w:i/>
                <w:iCs/>
                <w:color w:val="000000"/>
                <w:sz w:val="16"/>
                <w:szCs w:val="16"/>
                <w:u w:val="none"/>
              </w:rPr>
            </w:pPr>
          </w:p>
        </w:tc>
      </w:tr>
      <w:tr w14:paraId="222FE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32E95123">
            <w:pPr>
              <w:jc w:val="cente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5627031A">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925" w:type="dxa"/>
            <w:tcBorders>
              <w:top w:val="single" w:color="000000" w:sz="4" w:space="0"/>
              <w:left w:val="single" w:color="000000" w:sz="4" w:space="0"/>
              <w:bottom w:val="single" w:color="000000" w:sz="4" w:space="0"/>
              <w:right w:val="single" w:color="000000" w:sz="4" w:space="0"/>
            </w:tcBorders>
            <w:vAlign w:val="center"/>
          </w:tcPr>
          <w:p w14:paraId="68CE0111">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925" w:type="dxa"/>
            <w:tcBorders>
              <w:top w:val="single" w:color="000000" w:sz="4" w:space="0"/>
              <w:left w:val="single" w:color="000000" w:sz="4" w:space="0"/>
              <w:bottom w:val="single" w:color="000000" w:sz="4" w:space="0"/>
              <w:right w:val="single" w:color="000000" w:sz="4" w:space="0"/>
            </w:tcBorders>
            <w:vAlign w:val="center"/>
          </w:tcPr>
          <w:p w14:paraId="3624B539">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结余率（计算方法为：结余数/预算数）</w:t>
            </w:r>
          </w:p>
        </w:tc>
        <w:tc>
          <w:tcPr>
            <w:tcW w:w="892" w:type="dxa"/>
            <w:tcBorders>
              <w:top w:val="single" w:color="000000" w:sz="4" w:space="0"/>
              <w:left w:val="single" w:color="000000" w:sz="4" w:space="0"/>
              <w:bottom w:val="single" w:color="000000" w:sz="4" w:space="0"/>
              <w:right w:val="single" w:color="000000" w:sz="4" w:space="0"/>
            </w:tcBorders>
            <w:vAlign w:val="center"/>
          </w:tcPr>
          <w:p w14:paraId="3B835FC8">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09" w:type="dxa"/>
            <w:tcBorders>
              <w:top w:val="single" w:color="000000" w:sz="4" w:space="0"/>
              <w:left w:val="single" w:color="000000" w:sz="4" w:space="0"/>
              <w:bottom w:val="single" w:color="000000" w:sz="4" w:space="0"/>
              <w:right w:val="single" w:color="000000" w:sz="4" w:space="0"/>
            </w:tcBorders>
            <w:vAlign w:val="center"/>
          </w:tcPr>
          <w:p w14:paraId="358DC5E0">
            <w:pPr>
              <w:widowControl/>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5</w:t>
            </w:r>
          </w:p>
        </w:tc>
        <w:tc>
          <w:tcPr>
            <w:tcW w:w="813" w:type="dxa"/>
            <w:tcBorders>
              <w:top w:val="single" w:color="000000" w:sz="4" w:space="0"/>
              <w:left w:val="single" w:color="000000" w:sz="4" w:space="0"/>
              <w:bottom w:val="single" w:color="000000" w:sz="4" w:space="0"/>
              <w:right w:val="single" w:color="000000" w:sz="4" w:space="0"/>
            </w:tcBorders>
            <w:vAlign w:val="center"/>
          </w:tcPr>
          <w:p w14:paraId="1B78C2E0">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70" w:type="dxa"/>
            <w:tcBorders>
              <w:top w:val="single" w:color="000000" w:sz="4" w:space="0"/>
              <w:left w:val="single" w:color="000000" w:sz="4" w:space="0"/>
              <w:bottom w:val="single" w:color="000000" w:sz="4" w:space="0"/>
              <w:right w:val="single" w:color="000000" w:sz="4" w:space="0"/>
            </w:tcBorders>
            <w:vAlign w:val="center"/>
          </w:tcPr>
          <w:p w14:paraId="00697CAC">
            <w:pPr>
              <w:jc w:val="center"/>
              <w:rPr>
                <w:rFonts w:hint="eastAsia" w:ascii="微软雅黑" w:hAnsi="微软雅黑" w:eastAsia="微软雅黑" w:cs="微软雅黑"/>
                <w:i/>
                <w:iCs/>
                <w:color w:val="000000"/>
                <w:sz w:val="16"/>
                <w:szCs w:val="16"/>
                <w:u w:val="none"/>
              </w:rPr>
            </w:pPr>
          </w:p>
        </w:tc>
        <w:tc>
          <w:tcPr>
            <w:tcW w:w="805" w:type="dxa"/>
            <w:tcBorders>
              <w:top w:val="single" w:color="000000" w:sz="4" w:space="0"/>
              <w:left w:val="single" w:color="000000" w:sz="4" w:space="0"/>
              <w:bottom w:val="single" w:color="000000" w:sz="4" w:space="0"/>
              <w:right w:val="single" w:color="000000" w:sz="4" w:space="0"/>
            </w:tcBorders>
            <w:vAlign w:val="center"/>
          </w:tcPr>
          <w:p w14:paraId="27267FA4">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22.5</w:t>
            </w:r>
          </w:p>
        </w:tc>
        <w:tc>
          <w:tcPr>
            <w:tcW w:w="731" w:type="dxa"/>
            <w:tcBorders>
              <w:top w:val="single" w:color="000000" w:sz="4" w:space="0"/>
              <w:left w:val="single" w:color="000000" w:sz="4" w:space="0"/>
              <w:bottom w:val="single" w:color="000000" w:sz="4" w:space="0"/>
              <w:right w:val="single" w:color="000000" w:sz="4" w:space="0"/>
            </w:tcBorders>
            <w:vAlign w:val="center"/>
          </w:tcPr>
          <w:p w14:paraId="06FBEB30">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21.5</w:t>
            </w:r>
          </w:p>
        </w:tc>
        <w:tc>
          <w:tcPr>
            <w:tcW w:w="918" w:type="dxa"/>
            <w:tcBorders>
              <w:top w:val="single" w:color="000000" w:sz="4" w:space="0"/>
              <w:left w:val="single" w:color="000000" w:sz="4" w:space="0"/>
              <w:bottom w:val="single" w:color="000000" w:sz="4" w:space="0"/>
              <w:right w:val="single" w:color="000000" w:sz="4" w:space="0"/>
            </w:tcBorders>
            <w:vAlign w:val="center"/>
          </w:tcPr>
          <w:p w14:paraId="72EEB238">
            <w:pPr>
              <w:jc w:val="center"/>
              <w:rPr>
                <w:rFonts w:hint="eastAsia" w:ascii="微软雅黑" w:hAnsi="微软雅黑" w:eastAsia="微软雅黑" w:cs="微软雅黑"/>
                <w:i/>
                <w:iCs/>
                <w:color w:val="000000"/>
                <w:sz w:val="16"/>
                <w:szCs w:val="16"/>
                <w:u w:val="none"/>
              </w:rPr>
            </w:pPr>
          </w:p>
        </w:tc>
      </w:tr>
      <w:tr w14:paraId="6E84D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66" w:type="dxa"/>
            <w:gridSpan w:val="8"/>
            <w:tcBorders>
              <w:top w:val="single" w:color="000000" w:sz="4" w:space="0"/>
              <w:left w:val="single" w:color="000000" w:sz="4" w:space="0"/>
              <w:bottom w:val="single" w:color="000000" w:sz="4" w:space="0"/>
              <w:right w:val="single" w:color="000000" w:sz="4" w:space="0"/>
            </w:tcBorders>
            <w:vAlign w:val="center"/>
          </w:tcPr>
          <w:p w14:paraId="5D587DB9">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805" w:type="dxa"/>
            <w:tcBorders>
              <w:top w:val="single" w:color="000000" w:sz="4" w:space="0"/>
              <w:left w:val="single" w:color="000000" w:sz="4" w:space="0"/>
              <w:bottom w:val="single" w:color="000000" w:sz="4" w:space="0"/>
              <w:right w:val="single" w:color="000000" w:sz="4" w:space="0"/>
            </w:tcBorders>
            <w:vAlign w:val="center"/>
          </w:tcPr>
          <w:p w14:paraId="6EAE2FBB">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31" w:type="dxa"/>
            <w:tcBorders>
              <w:top w:val="single" w:color="000000" w:sz="4" w:space="0"/>
              <w:left w:val="single" w:color="000000" w:sz="4" w:space="0"/>
              <w:bottom w:val="single" w:color="000000" w:sz="4" w:space="0"/>
              <w:right w:val="single" w:color="000000" w:sz="4" w:space="0"/>
            </w:tcBorders>
            <w:vAlign w:val="center"/>
          </w:tcPr>
          <w:p w14:paraId="04779A88">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94</w:t>
            </w:r>
          </w:p>
        </w:tc>
        <w:tc>
          <w:tcPr>
            <w:tcW w:w="918" w:type="dxa"/>
            <w:tcBorders>
              <w:top w:val="single" w:color="000000" w:sz="4" w:space="0"/>
              <w:left w:val="single" w:color="000000" w:sz="4" w:space="0"/>
              <w:bottom w:val="single" w:color="000000" w:sz="4" w:space="0"/>
              <w:right w:val="single" w:color="000000" w:sz="4" w:space="0"/>
            </w:tcBorders>
            <w:vAlign w:val="center"/>
          </w:tcPr>
          <w:p w14:paraId="08829EAB">
            <w:pPr>
              <w:rPr>
                <w:rFonts w:hint="eastAsia" w:ascii="宋体" w:hAnsi="宋体" w:eastAsia="宋体" w:cs="宋体"/>
                <w:i w:val="0"/>
                <w:iCs w:val="0"/>
                <w:color w:val="000000"/>
                <w:sz w:val="18"/>
                <w:szCs w:val="18"/>
                <w:u w:val="none"/>
              </w:rPr>
            </w:pPr>
          </w:p>
        </w:tc>
      </w:tr>
      <w:tr w14:paraId="7F2B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tcBorders>
              <w:top w:val="single" w:color="000000" w:sz="4" w:space="0"/>
              <w:left w:val="single" w:color="000000" w:sz="4" w:space="0"/>
              <w:bottom w:val="single" w:color="000000" w:sz="4" w:space="0"/>
              <w:right w:val="single" w:color="000000" w:sz="4" w:space="0"/>
            </w:tcBorders>
            <w:vAlign w:val="center"/>
          </w:tcPr>
          <w:p w14:paraId="3CD6C158">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8841" w:type="dxa"/>
            <w:gridSpan w:val="10"/>
            <w:tcBorders>
              <w:top w:val="single" w:color="000000" w:sz="4" w:space="0"/>
              <w:left w:val="single" w:color="000000" w:sz="4" w:space="0"/>
              <w:bottom w:val="single" w:color="000000" w:sz="4" w:space="0"/>
              <w:right w:val="single" w:color="000000" w:sz="4" w:space="0"/>
            </w:tcBorders>
            <w:vAlign w:val="center"/>
          </w:tcPr>
          <w:p w14:paraId="7DDBB906">
            <w:pPr>
              <w:widowControl/>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流浪乞讨人员救助资金项目没有发生因流乞人员没有得到及时救助而发生重大事件</w:t>
            </w:r>
          </w:p>
        </w:tc>
      </w:tr>
      <w:tr w14:paraId="4AFCC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tcBorders>
              <w:top w:val="single" w:color="000000" w:sz="4" w:space="0"/>
              <w:left w:val="single" w:color="000000" w:sz="4" w:space="0"/>
              <w:bottom w:val="single" w:color="000000" w:sz="4" w:space="0"/>
              <w:right w:val="single" w:color="000000" w:sz="4" w:space="0"/>
            </w:tcBorders>
            <w:vAlign w:val="center"/>
          </w:tcPr>
          <w:p w14:paraId="4E307571">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8841" w:type="dxa"/>
            <w:gridSpan w:val="10"/>
            <w:tcBorders>
              <w:top w:val="single" w:color="000000" w:sz="4" w:space="0"/>
              <w:left w:val="single" w:color="000000" w:sz="4" w:space="0"/>
              <w:bottom w:val="single" w:color="000000" w:sz="4" w:space="0"/>
              <w:right w:val="single" w:color="000000" w:sz="4" w:space="0"/>
            </w:tcBorders>
            <w:vAlign w:val="center"/>
          </w:tcPr>
          <w:p w14:paraId="34351686">
            <w:pPr>
              <w:widowControl/>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“职业乞讨”现象依然存在；救助对象身份甄别难度大；跑站、骗助形势严峻。</w:t>
            </w:r>
          </w:p>
        </w:tc>
      </w:tr>
      <w:tr w14:paraId="3CA36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tcBorders>
              <w:top w:val="single" w:color="000000" w:sz="4" w:space="0"/>
              <w:left w:val="single" w:color="000000" w:sz="4" w:space="0"/>
              <w:bottom w:val="single" w:color="000000" w:sz="4" w:space="0"/>
              <w:right w:val="single" w:color="000000" w:sz="4" w:space="0"/>
            </w:tcBorders>
            <w:vAlign w:val="center"/>
          </w:tcPr>
          <w:p w14:paraId="37C320E5">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8841" w:type="dxa"/>
            <w:gridSpan w:val="10"/>
            <w:tcBorders>
              <w:top w:val="single" w:color="000000" w:sz="4" w:space="0"/>
              <w:left w:val="single" w:color="000000" w:sz="4" w:space="0"/>
              <w:bottom w:val="single" w:color="000000" w:sz="4" w:space="0"/>
              <w:right w:val="single" w:color="000000" w:sz="4" w:space="0"/>
            </w:tcBorders>
            <w:vAlign w:val="center"/>
          </w:tcPr>
          <w:p w14:paraId="15F1B29D">
            <w:pPr>
              <w:widowControl/>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全方位加强救助工作宣传报道力度； 加强救助人员的身份查询及录亲工作；严惩一些人利用政策上的漏洞，往返于各个救助站之间骗助等行为。</w:t>
            </w:r>
          </w:p>
        </w:tc>
      </w:tr>
      <w:tr w14:paraId="637AB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74" w:type="dxa"/>
            <w:gridSpan w:val="5"/>
            <w:tcBorders>
              <w:top w:val="single" w:color="000000" w:sz="4" w:space="0"/>
              <w:left w:val="single" w:color="000000" w:sz="4" w:space="0"/>
              <w:bottom w:val="single" w:color="000000" w:sz="4" w:space="0"/>
              <w:right w:val="single" w:color="000000" w:sz="4" w:space="0"/>
            </w:tcBorders>
            <w:vAlign w:val="center"/>
          </w:tcPr>
          <w:p w14:paraId="5B865D09">
            <w:pPr>
              <w:widowControl/>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项目负责人：叶林鑫</w:t>
            </w:r>
          </w:p>
        </w:tc>
        <w:tc>
          <w:tcPr>
            <w:tcW w:w="5146" w:type="dxa"/>
            <w:gridSpan w:val="6"/>
            <w:tcBorders>
              <w:top w:val="single" w:color="000000" w:sz="4" w:space="0"/>
              <w:left w:val="single" w:color="000000" w:sz="4" w:space="0"/>
              <w:bottom w:val="single" w:color="000000" w:sz="4" w:space="0"/>
              <w:right w:val="single" w:color="000000" w:sz="4" w:space="0"/>
            </w:tcBorders>
            <w:vAlign w:val="center"/>
          </w:tcPr>
          <w:p w14:paraId="7E69E5D9">
            <w:pPr>
              <w:widowControl/>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财务负责人：雷丽</w:t>
            </w:r>
          </w:p>
        </w:tc>
      </w:tr>
    </w:tbl>
    <w:p w14:paraId="348C2654">
      <w:pPr>
        <w:spacing w:line="600" w:lineRule="exact"/>
        <w:jc w:val="both"/>
        <w:outlineLvl w:val="0"/>
        <w:rPr>
          <w:rFonts w:hint="eastAsia" w:ascii="黑体" w:hAnsi="黑体" w:eastAsia="黑体"/>
          <w:color w:val="000000"/>
          <w:sz w:val="44"/>
          <w:szCs w:val="44"/>
        </w:rPr>
      </w:pPr>
    </w:p>
    <w:tbl>
      <w:tblPr>
        <w:tblStyle w:val="11"/>
        <w:tblW w:w="9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9"/>
        <w:gridCol w:w="953"/>
        <w:gridCol w:w="925"/>
        <w:gridCol w:w="925"/>
        <w:gridCol w:w="892"/>
        <w:gridCol w:w="909"/>
        <w:gridCol w:w="813"/>
        <w:gridCol w:w="970"/>
        <w:gridCol w:w="805"/>
        <w:gridCol w:w="731"/>
        <w:gridCol w:w="918"/>
      </w:tblGrid>
      <w:tr w14:paraId="42C4A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20" w:type="dxa"/>
            <w:gridSpan w:val="11"/>
            <w:tcBorders>
              <w:top w:val="single" w:color="000000" w:sz="4" w:space="0"/>
              <w:left w:val="single" w:color="000000" w:sz="4" w:space="0"/>
              <w:bottom w:val="single" w:color="000000" w:sz="4" w:space="0"/>
              <w:right w:val="single" w:color="000000" w:sz="4" w:space="0"/>
            </w:tcBorders>
            <w:vAlign w:val="center"/>
          </w:tcPr>
          <w:p w14:paraId="47B43460">
            <w:pPr>
              <w:widowControl/>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部门预算项目支出绩效自评表（2022年度）</w:t>
            </w:r>
          </w:p>
        </w:tc>
      </w:tr>
      <w:tr w14:paraId="739E5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32" w:type="dxa"/>
            <w:gridSpan w:val="2"/>
            <w:tcBorders>
              <w:top w:val="single" w:color="000000" w:sz="4" w:space="0"/>
              <w:left w:val="single" w:color="000000" w:sz="4" w:space="0"/>
              <w:bottom w:val="single" w:color="000000" w:sz="4" w:space="0"/>
              <w:right w:val="single" w:color="000000" w:sz="4" w:space="0"/>
            </w:tcBorders>
            <w:vAlign w:val="center"/>
          </w:tcPr>
          <w:p w14:paraId="2BE2E8C9">
            <w:pPr>
              <w:widowControl/>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888" w:type="dxa"/>
            <w:gridSpan w:val="9"/>
            <w:tcBorders>
              <w:top w:val="single" w:color="000000" w:sz="4" w:space="0"/>
              <w:left w:val="single" w:color="000000" w:sz="4" w:space="0"/>
              <w:bottom w:val="single" w:color="000000" w:sz="4" w:space="0"/>
              <w:right w:val="single" w:color="000000" w:sz="4" w:space="0"/>
            </w:tcBorders>
            <w:vAlign w:val="center"/>
          </w:tcPr>
          <w:p w14:paraId="1B67C23A">
            <w:pPr>
              <w:widowControl/>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弃婴生活费</w:t>
            </w:r>
          </w:p>
        </w:tc>
      </w:tr>
      <w:tr w14:paraId="0072D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32" w:type="dxa"/>
            <w:gridSpan w:val="2"/>
            <w:tcBorders>
              <w:top w:val="single" w:color="000000" w:sz="4" w:space="0"/>
              <w:left w:val="single" w:color="000000" w:sz="4" w:space="0"/>
              <w:bottom w:val="single" w:color="000000" w:sz="4" w:space="0"/>
              <w:right w:val="single" w:color="000000" w:sz="4" w:space="0"/>
            </w:tcBorders>
            <w:vAlign w:val="center"/>
          </w:tcPr>
          <w:p w14:paraId="56803D90">
            <w:pPr>
              <w:widowControl/>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464" w:type="dxa"/>
            <w:gridSpan w:val="5"/>
            <w:tcBorders>
              <w:top w:val="single" w:color="000000" w:sz="4" w:space="0"/>
              <w:left w:val="single" w:color="000000" w:sz="4" w:space="0"/>
              <w:bottom w:val="single" w:color="000000" w:sz="4" w:space="0"/>
              <w:right w:val="single" w:color="000000" w:sz="4" w:space="0"/>
            </w:tcBorders>
            <w:vAlign w:val="center"/>
          </w:tcPr>
          <w:p w14:paraId="3B1CE306">
            <w:pPr>
              <w:widowControl/>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岳池县民政局</w:t>
            </w:r>
          </w:p>
        </w:tc>
        <w:tc>
          <w:tcPr>
            <w:tcW w:w="970" w:type="dxa"/>
            <w:tcBorders>
              <w:top w:val="nil"/>
              <w:left w:val="nil"/>
              <w:bottom w:val="nil"/>
              <w:right w:val="nil"/>
            </w:tcBorders>
            <w:vAlign w:val="center"/>
          </w:tcPr>
          <w:p w14:paraId="314AF596">
            <w:pPr>
              <w:widowControl/>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454" w:type="dxa"/>
            <w:gridSpan w:val="3"/>
            <w:tcBorders>
              <w:top w:val="single" w:color="000000" w:sz="4" w:space="0"/>
              <w:left w:val="single" w:color="000000" w:sz="4" w:space="0"/>
              <w:bottom w:val="single" w:color="000000" w:sz="4" w:space="0"/>
              <w:right w:val="single" w:color="000000" w:sz="4" w:space="0"/>
            </w:tcBorders>
            <w:vAlign w:val="center"/>
          </w:tcPr>
          <w:p w14:paraId="2D8CE161">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岳池县社会救助福利中心</w:t>
            </w:r>
          </w:p>
        </w:tc>
      </w:tr>
      <w:tr w14:paraId="31C07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restart"/>
            <w:tcBorders>
              <w:top w:val="single" w:color="000000" w:sz="4" w:space="0"/>
              <w:left w:val="single" w:color="000000" w:sz="4" w:space="0"/>
              <w:bottom w:val="single" w:color="000000" w:sz="4" w:space="0"/>
              <w:right w:val="single" w:color="000000" w:sz="4" w:space="0"/>
            </w:tcBorders>
            <w:vAlign w:val="center"/>
          </w:tcPr>
          <w:p w14:paraId="45E457E2">
            <w:pPr>
              <w:widowControl/>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953" w:type="dxa"/>
            <w:vMerge w:val="restart"/>
            <w:tcBorders>
              <w:top w:val="single" w:color="000000" w:sz="4" w:space="0"/>
              <w:left w:val="single" w:color="000000" w:sz="4" w:space="0"/>
              <w:bottom w:val="single" w:color="000000" w:sz="4" w:space="0"/>
              <w:right w:val="single" w:color="000000" w:sz="4" w:space="0"/>
            </w:tcBorders>
            <w:vAlign w:val="center"/>
          </w:tcPr>
          <w:p w14:paraId="3ED73B74">
            <w:pPr>
              <w:widowControl/>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4464" w:type="dxa"/>
            <w:gridSpan w:val="5"/>
            <w:tcBorders>
              <w:top w:val="single" w:color="000000" w:sz="4" w:space="0"/>
              <w:left w:val="single" w:color="000000" w:sz="4" w:space="0"/>
              <w:bottom w:val="single" w:color="000000" w:sz="4" w:space="0"/>
              <w:right w:val="single" w:color="000000" w:sz="4" w:space="0"/>
            </w:tcBorders>
            <w:vAlign w:val="center"/>
          </w:tcPr>
          <w:p w14:paraId="176F4A68">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424" w:type="dxa"/>
            <w:gridSpan w:val="4"/>
            <w:tcBorders>
              <w:top w:val="single" w:color="000000" w:sz="4" w:space="0"/>
              <w:left w:val="single" w:color="000000" w:sz="4" w:space="0"/>
              <w:bottom w:val="single" w:color="000000" w:sz="4" w:space="0"/>
              <w:right w:val="single" w:color="000000" w:sz="4" w:space="0"/>
            </w:tcBorders>
            <w:vAlign w:val="center"/>
          </w:tcPr>
          <w:p w14:paraId="1762666C">
            <w:pPr>
              <w:widowControl/>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05309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28A01E4C">
            <w:pPr>
              <w:rPr>
                <w:rFonts w:hint="eastAsia" w:ascii="宋体" w:hAnsi="宋体" w:eastAsia="宋体" w:cs="宋体"/>
                <w:i w:val="0"/>
                <w:iCs w:val="0"/>
                <w:color w:val="000000"/>
                <w:sz w:val="18"/>
                <w:szCs w:val="18"/>
                <w:u w:val="none"/>
              </w:rPr>
            </w:pPr>
          </w:p>
        </w:tc>
        <w:tc>
          <w:tcPr>
            <w:tcW w:w="953" w:type="dxa"/>
            <w:vMerge w:val="continue"/>
            <w:tcBorders>
              <w:top w:val="single" w:color="000000" w:sz="4" w:space="0"/>
              <w:left w:val="single" w:color="000000" w:sz="4" w:space="0"/>
              <w:bottom w:val="single" w:color="000000" w:sz="4" w:space="0"/>
              <w:right w:val="single" w:color="000000" w:sz="4" w:space="0"/>
            </w:tcBorders>
            <w:vAlign w:val="center"/>
          </w:tcPr>
          <w:p w14:paraId="11419E58">
            <w:pPr>
              <w:rPr>
                <w:rFonts w:hint="eastAsia" w:ascii="宋体" w:hAnsi="宋体" w:eastAsia="宋体" w:cs="宋体"/>
                <w:i w:val="0"/>
                <w:iCs w:val="0"/>
                <w:color w:val="000000"/>
                <w:sz w:val="18"/>
                <w:szCs w:val="18"/>
                <w:u w:val="none"/>
              </w:rPr>
            </w:pPr>
          </w:p>
        </w:tc>
        <w:tc>
          <w:tcPr>
            <w:tcW w:w="4464" w:type="dxa"/>
            <w:gridSpan w:val="5"/>
            <w:tcBorders>
              <w:top w:val="single" w:color="000000" w:sz="4" w:space="0"/>
              <w:left w:val="single" w:color="000000" w:sz="4" w:space="0"/>
              <w:bottom w:val="single" w:color="000000" w:sz="4" w:space="0"/>
              <w:right w:val="single" w:color="000000" w:sz="4" w:space="0"/>
            </w:tcBorders>
            <w:vAlign w:val="center"/>
          </w:tcPr>
          <w:p w14:paraId="446DDF93">
            <w:pPr>
              <w:widowControl/>
              <w:jc w:val="lef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rPr>
              <w:t>弃婴生活费资金项目预计全年需要完成对送到站的3名弃婴进行救助</w:t>
            </w:r>
          </w:p>
        </w:tc>
        <w:tc>
          <w:tcPr>
            <w:tcW w:w="3424" w:type="dxa"/>
            <w:gridSpan w:val="4"/>
            <w:tcBorders>
              <w:top w:val="single" w:color="000000" w:sz="4" w:space="0"/>
              <w:left w:val="single" w:color="000000" w:sz="4" w:space="0"/>
              <w:bottom w:val="single" w:color="000000" w:sz="4" w:space="0"/>
              <w:right w:val="single" w:color="000000" w:sz="4" w:space="0"/>
            </w:tcBorders>
            <w:vAlign w:val="center"/>
          </w:tcPr>
          <w:p w14:paraId="0A00E447">
            <w:pPr>
              <w:widowControl/>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rPr>
              <w:t>2022年全年完成对送到救助站的1名弃婴进行了救助，确保弃婴全员接收</w:t>
            </w:r>
          </w:p>
        </w:tc>
      </w:tr>
      <w:tr w14:paraId="469C1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2BDCD0DA">
            <w:pP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1F42B196">
            <w:pPr>
              <w:widowControl/>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888" w:type="dxa"/>
            <w:gridSpan w:val="9"/>
            <w:tcBorders>
              <w:top w:val="single" w:color="000000" w:sz="4" w:space="0"/>
              <w:left w:val="single" w:color="000000" w:sz="4" w:space="0"/>
              <w:bottom w:val="single" w:color="000000" w:sz="4" w:space="0"/>
              <w:right w:val="single" w:color="000000" w:sz="4" w:space="0"/>
            </w:tcBorders>
            <w:vAlign w:val="center"/>
          </w:tcPr>
          <w:p w14:paraId="506BA3C1">
            <w:pPr>
              <w:widowControl/>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按照省民政厅、财政厅制定的要求，结合实际，细化措施，</w:t>
            </w:r>
            <w:r>
              <w:rPr>
                <w:rFonts w:hint="eastAsia" w:ascii="宋体" w:hAnsi="宋体" w:cs="宋体"/>
                <w:i w:val="0"/>
                <w:iCs w:val="0"/>
                <w:color w:val="000000"/>
                <w:kern w:val="0"/>
                <w:sz w:val="18"/>
                <w:szCs w:val="18"/>
                <w:u w:val="none"/>
                <w:lang w:val="en-US" w:eastAsia="zh-CN"/>
              </w:rPr>
              <w:t>弃婴生活费标准参照当地的生活标准执行，确保弃婴得到充足的生存条件。</w:t>
            </w:r>
          </w:p>
        </w:tc>
      </w:tr>
      <w:tr w14:paraId="45848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restart"/>
            <w:tcBorders>
              <w:top w:val="single" w:color="000000" w:sz="4" w:space="0"/>
              <w:left w:val="single" w:color="000000" w:sz="4" w:space="0"/>
              <w:bottom w:val="single" w:color="000000" w:sz="4" w:space="0"/>
              <w:right w:val="single" w:color="000000" w:sz="4" w:space="0"/>
            </w:tcBorders>
            <w:vAlign w:val="center"/>
          </w:tcPr>
          <w:p w14:paraId="4CD72122">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953" w:type="dxa"/>
            <w:tcBorders>
              <w:top w:val="single" w:color="000000" w:sz="4" w:space="0"/>
              <w:left w:val="single" w:color="000000" w:sz="4" w:space="0"/>
              <w:bottom w:val="single" w:color="000000" w:sz="4" w:space="0"/>
              <w:right w:val="single" w:color="000000" w:sz="4" w:space="0"/>
            </w:tcBorders>
            <w:vAlign w:val="center"/>
          </w:tcPr>
          <w:p w14:paraId="0890F3C2">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925" w:type="dxa"/>
            <w:tcBorders>
              <w:top w:val="single" w:color="000000" w:sz="4" w:space="0"/>
              <w:left w:val="single" w:color="000000" w:sz="4" w:space="0"/>
              <w:bottom w:val="single" w:color="000000" w:sz="4" w:space="0"/>
              <w:right w:val="single" w:color="000000" w:sz="4" w:space="0"/>
            </w:tcBorders>
            <w:vAlign w:val="center"/>
          </w:tcPr>
          <w:p w14:paraId="0D037E52">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925" w:type="dxa"/>
            <w:tcBorders>
              <w:top w:val="single" w:color="000000" w:sz="4" w:space="0"/>
              <w:left w:val="single" w:color="000000" w:sz="4" w:space="0"/>
              <w:bottom w:val="single" w:color="000000" w:sz="4" w:space="0"/>
              <w:right w:val="single" w:color="000000" w:sz="4" w:space="0"/>
            </w:tcBorders>
            <w:vAlign w:val="center"/>
          </w:tcPr>
          <w:p w14:paraId="4E11D084">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614" w:type="dxa"/>
            <w:gridSpan w:val="3"/>
            <w:tcBorders>
              <w:top w:val="single" w:color="000000" w:sz="4" w:space="0"/>
              <w:left w:val="single" w:color="000000" w:sz="4" w:space="0"/>
              <w:bottom w:val="single" w:color="000000" w:sz="4" w:space="0"/>
              <w:right w:val="single" w:color="000000" w:sz="4" w:space="0"/>
            </w:tcBorders>
            <w:vAlign w:val="center"/>
          </w:tcPr>
          <w:p w14:paraId="11EA4042">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970" w:type="dxa"/>
            <w:tcBorders>
              <w:top w:val="single" w:color="000000" w:sz="4" w:space="0"/>
              <w:left w:val="single" w:color="000000" w:sz="4" w:space="0"/>
              <w:bottom w:val="single" w:color="000000" w:sz="4" w:space="0"/>
              <w:right w:val="single" w:color="000000" w:sz="4" w:space="0"/>
            </w:tcBorders>
            <w:vAlign w:val="center"/>
          </w:tcPr>
          <w:p w14:paraId="5241BEDE">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805" w:type="dxa"/>
            <w:tcBorders>
              <w:top w:val="single" w:color="000000" w:sz="4" w:space="0"/>
              <w:left w:val="single" w:color="000000" w:sz="4" w:space="0"/>
              <w:bottom w:val="single" w:color="000000" w:sz="4" w:space="0"/>
              <w:right w:val="single" w:color="000000" w:sz="4" w:space="0"/>
            </w:tcBorders>
            <w:vAlign w:val="center"/>
          </w:tcPr>
          <w:p w14:paraId="702EAFD0">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731" w:type="dxa"/>
            <w:tcBorders>
              <w:top w:val="single" w:color="000000" w:sz="4" w:space="0"/>
              <w:left w:val="single" w:color="000000" w:sz="4" w:space="0"/>
              <w:bottom w:val="single" w:color="000000" w:sz="4" w:space="0"/>
              <w:right w:val="single" w:color="000000" w:sz="4" w:space="0"/>
            </w:tcBorders>
            <w:vAlign w:val="center"/>
          </w:tcPr>
          <w:p w14:paraId="54C19D00">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918" w:type="dxa"/>
            <w:tcBorders>
              <w:top w:val="single" w:color="000000" w:sz="4" w:space="0"/>
              <w:left w:val="single" w:color="000000" w:sz="4" w:space="0"/>
              <w:bottom w:val="single" w:color="000000" w:sz="4" w:space="0"/>
              <w:right w:val="single" w:color="000000" w:sz="4" w:space="0"/>
            </w:tcBorders>
            <w:vAlign w:val="center"/>
          </w:tcPr>
          <w:p w14:paraId="0FC271D8">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07EC3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1958CA88">
            <w:pPr>
              <w:jc w:val="cente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6907770E">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925" w:type="dxa"/>
            <w:tcBorders>
              <w:top w:val="single" w:color="000000" w:sz="4" w:space="0"/>
              <w:left w:val="single" w:color="000000" w:sz="4" w:space="0"/>
              <w:bottom w:val="single" w:color="000000" w:sz="4" w:space="0"/>
              <w:right w:val="single" w:color="000000" w:sz="4" w:space="0"/>
            </w:tcBorders>
            <w:vAlign w:val="center"/>
          </w:tcPr>
          <w:p w14:paraId="742B7D34">
            <w:pPr>
              <w:widowControl/>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rPr>
              <w:t>0.87</w:t>
            </w:r>
          </w:p>
        </w:tc>
        <w:tc>
          <w:tcPr>
            <w:tcW w:w="925" w:type="dxa"/>
            <w:tcBorders>
              <w:top w:val="single" w:color="000000" w:sz="4" w:space="0"/>
              <w:left w:val="single" w:color="000000" w:sz="4" w:space="0"/>
              <w:bottom w:val="single" w:color="000000" w:sz="4" w:space="0"/>
              <w:right w:val="single" w:color="000000" w:sz="4" w:space="0"/>
            </w:tcBorders>
            <w:vAlign w:val="center"/>
          </w:tcPr>
          <w:p w14:paraId="61C86944">
            <w:pPr>
              <w:widowControl/>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0.87</w:t>
            </w:r>
          </w:p>
        </w:tc>
        <w:tc>
          <w:tcPr>
            <w:tcW w:w="2614" w:type="dxa"/>
            <w:gridSpan w:val="3"/>
            <w:tcBorders>
              <w:top w:val="single" w:color="000000" w:sz="4" w:space="0"/>
              <w:left w:val="single" w:color="000000" w:sz="4" w:space="0"/>
              <w:bottom w:val="single" w:color="000000" w:sz="4" w:space="0"/>
              <w:right w:val="single" w:color="000000" w:sz="4" w:space="0"/>
            </w:tcBorders>
            <w:vAlign w:val="center"/>
          </w:tcPr>
          <w:p w14:paraId="1887B534">
            <w:pPr>
              <w:widowControl/>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0.87</w:t>
            </w:r>
          </w:p>
        </w:tc>
        <w:tc>
          <w:tcPr>
            <w:tcW w:w="970" w:type="dxa"/>
            <w:tcBorders>
              <w:top w:val="single" w:color="000000" w:sz="4" w:space="0"/>
              <w:left w:val="single" w:color="000000" w:sz="4" w:space="0"/>
              <w:bottom w:val="single" w:color="000000" w:sz="4" w:space="0"/>
              <w:right w:val="single" w:color="000000" w:sz="4" w:space="0"/>
            </w:tcBorders>
            <w:vAlign w:val="center"/>
          </w:tcPr>
          <w:p w14:paraId="2A537749">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805" w:type="dxa"/>
            <w:tcBorders>
              <w:top w:val="single" w:color="000000" w:sz="4" w:space="0"/>
              <w:left w:val="single" w:color="000000" w:sz="4" w:space="0"/>
              <w:bottom w:val="single" w:color="000000" w:sz="4" w:space="0"/>
              <w:right w:val="single" w:color="000000" w:sz="4" w:space="0"/>
            </w:tcBorders>
            <w:vAlign w:val="center"/>
          </w:tcPr>
          <w:p w14:paraId="5355F760">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31" w:type="dxa"/>
            <w:tcBorders>
              <w:top w:val="single" w:color="000000" w:sz="4" w:space="0"/>
              <w:left w:val="single" w:color="000000" w:sz="4" w:space="0"/>
              <w:bottom w:val="single" w:color="000000" w:sz="4" w:space="0"/>
              <w:right w:val="single" w:color="000000" w:sz="4" w:space="0"/>
            </w:tcBorders>
            <w:vAlign w:val="center"/>
          </w:tcPr>
          <w:p w14:paraId="4BC07079">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18" w:type="dxa"/>
            <w:vMerge w:val="restart"/>
            <w:tcBorders>
              <w:top w:val="single" w:color="000000" w:sz="4" w:space="0"/>
              <w:left w:val="single" w:color="000000" w:sz="4" w:space="0"/>
              <w:bottom w:val="single" w:color="000000" w:sz="4" w:space="0"/>
              <w:right w:val="single" w:color="000000" w:sz="4" w:space="0"/>
            </w:tcBorders>
            <w:vAlign w:val="center"/>
          </w:tcPr>
          <w:p w14:paraId="07EEEC66">
            <w:pPr>
              <w:rPr>
                <w:rFonts w:hint="eastAsia" w:ascii="黑体" w:hAnsi="黑体" w:eastAsia="黑体" w:cs="黑体"/>
                <w:i/>
                <w:iCs/>
                <w:color w:val="000000"/>
                <w:sz w:val="18"/>
                <w:szCs w:val="18"/>
                <w:u w:val="none"/>
              </w:rPr>
            </w:pPr>
          </w:p>
        </w:tc>
      </w:tr>
      <w:tr w14:paraId="2CC80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788FAE83">
            <w:pPr>
              <w:jc w:val="cente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6E201512">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925" w:type="dxa"/>
            <w:tcBorders>
              <w:top w:val="single" w:color="000000" w:sz="4" w:space="0"/>
              <w:left w:val="single" w:color="000000" w:sz="4" w:space="0"/>
              <w:bottom w:val="single" w:color="000000" w:sz="4" w:space="0"/>
              <w:right w:val="single" w:color="000000" w:sz="4" w:space="0"/>
            </w:tcBorders>
            <w:vAlign w:val="center"/>
          </w:tcPr>
          <w:p w14:paraId="51BFE4DE">
            <w:pPr>
              <w:widowControl/>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0.87</w:t>
            </w:r>
          </w:p>
        </w:tc>
        <w:tc>
          <w:tcPr>
            <w:tcW w:w="925" w:type="dxa"/>
            <w:tcBorders>
              <w:top w:val="single" w:color="000000" w:sz="4" w:space="0"/>
              <w:left w:val="single" w:color="000000" w:sz="4" w:space="0"/>
              <w:bottom w:val="single" w:color="000000" w:sz="4" w:space="0"/>
              <w:right w:val="single" w:color="000000" w:sz="4" w:space="0"/>
            </w:tcBorders>
            <w:vAlign w:val="center"/>
          </w:tcPr>
          <w:p w14:paraId="6410B51C">
            <w:pPr>
              <w:widowControl/>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0.87</w:t>
            </w:r>
          </w:p>
        </w:tc>
        <w:tc>
          <w:tcPr>
            <w:tcW w:w="2614" w:type="dxa"/>
            <w:gridSpan w:val="3"/>
            <w:tcBorders>
              <w:top w:val="single" w:color="000000" w:sz="4" w:space="0"/>
              <w:left w:val="single" w:color="000000" w:sz="4" w:space="0"/>
              <w:bottom w:val="single" w:color="000000" w:sz="4" w:space="0"/>
              <w:right w:val="single" w:color="000000" w:sz="4" w:space="0"/>
            </w:tcBorders>
            <w:vAlign w:val="center"/>
          </w:tcPr>
          <w:p w14:paraId="065DF84F">
            <w:pPr>
              <w:widowControl/>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0.87</w:t>
            </w:r>
          </w:p>
        </w:tc>
        <w:tc>
          <w:tcPr>
            <w:tcW w:w="970" w:type="dxa"/>
            <w:tcBorders>
              <w:top w:val="single" w:color="000000" w:sz="4" w:space="0"/>
              <w:left w:val="single" w:color="000000" w:sz="4" w:space="0"/>
              <w:bottom w:val="single" w:color="000000" w:sz="4" w:space="0"/>
              <w:right w:val="single" w:color="000000" w:sz="4" w:space="0"/>
            </w:tcBorders>
            <w:vAlign w:val="center"/>
          </w:tcPr>
          <w:p w14:paraId="20D8077B">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805" w:type="dxa"/>
            <w:tcBorders>
              <w:top w:val="single" w:color="000000" w:sz="4" w:space="0"/>
              <w:left w:val="single" w:color="000000" w:sz="4" w:space="0"/>
              <w:bottom w:val="single" w:color="000000" w:sz="4" w:space="0"/>
              <w:right w:val="single" w:color="000000" w:sz="4" w:space="0"/>
            </w:tcBorders>
            <w:vAlign w:val="center"/>
          </w:tcPr>
          <w:p w14:paraId="0FFB6119">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31" w:type="dxa"/>
            <w:tcBorders>
              <w:top w:val="single" w:color="000000" w:sz="4" w:space="0"/>
              <w:left w:val="single" w:color="000000" w:sz="4" w:space="0"/>
              <w:bottom w:val="single" w:color="000000" w:sz="4" w:space="0"/>
              <w:right w:val="single" w:color="000000" w:sz="4" w:space="0"/>
            </w:tcBorders>
            <w:vAlign w:val="center"/>
          </w:tcPr>
          <w:p w14:paraId="2AD73DB5">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18" w:type="dxa"/>
            <w:vMerge w:val="continue"/>
            <w:tcBorders>
              <w:top w:val="single" w:color="000000" w:sz="4" w:space="0"/>
              <w:left w:val="single" w:color="000000" w:sz="4" w:space="0"/>
              <w:bottom w:val="single" w:color="000000" w:sz="4" w:space="0"/>
              <w:right w:val="single" w:color="000000" w:sz="4" w:space="0"/>
            </w:tcBorders>
            <w:vAlign w:val="center"/>
          </w:tcPr>
          <w:p w14:paraId="61872B22">
            <w:pPr>
              <w:rPr>
                <w:rFonts w:hint="eastAsia" w:ascii="黑体" w:hAnsi="黑体" w:eastAsia="黑体" w:cs="黑体"/>
                <w:i/>
                <w:iCs/>
                <w:color w:val="000000"/>
                <w:sz w:val="18"/>
                <w:szCs w:val="18"/>
                <w:u w:val="none"/>
              </w:rPr>
            </w:pPr>
          </w:p>
        </w:tc>
      </w:tr>
      <w:tr w14:paraId="1ECDA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63C5BF59">
            <w:pPr>
              <w:jc w:val="cente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7336E1D5">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925" w:type="dxa"/>
            <w:tcBorders>
              <w:top w:val="single" w:color="000000" w:sz="4" w:space="0"/>
              <w:left w:val="single" w:color="000000" w:sz="4" w:space="0"/>
              <w:bottom w:val="single" w:color="000000" w:sz="4" w:space="0"/>
              <w:right w:val="single" w:color="000000" w:sz="4" w:space="0"/>
            </w:tcBorders>
            <w:vAlign w:val="center"/>
          </w:tcPr>
          <w:p w14:paraId="3ABBB0DA">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25" w:type="dxa"/>
            <w:tcBorders>
              <w:top w:val="single" w:color="000000" w:sz="4" w:space="0"/>
              <w:left w:val="single" w:color="000000" w:sz="4" w:space="0"/>
              <w:bottom w:val="single" w:color="000000" w:sz="4" w:space="0"/>
              <w:right w:val="single" w:color="000000" w:sz="4" w:space="0"/>
            </w:tcBorders>
            <w:vAlign w:val="center"/>
          </w:tcPr>
          <w:p w14:paraId="4193DAB8">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614" w:type="dxa"/>
            <w:gridSpan w:val="3"/>
            <w:tcBorders>
              <w:top w:val="single" w:color="000000" w:sz="4" w:space="0"/>
              <w:left w:val="single" w:color="000000" w:sz="4" w:space="0"/>
              <w:bottom w:val="single" w:color="000000" w:sz="4" w:space="0"/>
              <w:right w:val="single" w:color="000000" w:sz="4" w:space="0"/>
            </w:tcBorders>
            <w:vAlign w:val="center"/>
          </w:tcPr>
          <w:p w14:paraId="014C46C0">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70" w:type="dxa"/>
            <w:tcBorders>
              <w:top w:val="single" w:color="000000" w:sz="4" w:space="0"/>
              <w:left w:val="single" w:color="000000" w:sz="4" w:space="0"/>
              <w:bottom w:val="single" w:color="000000" w:sz="4" w:space="0"/>
              <w:right w:val="single" w:color="000000" w:sz="4" w:space="0"/>
            </w:tcBorders>
            <w:vAlign w:val="center"/>
          </w:tcPr>
          <w:p w14:paraId="685A3BBA">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05" w:type="dxa"/>
            <w:tcBorders>
              <w:top w:val="single" w:color="000000" w:sz="4" w:space="0"/>
              <w:left w:val="single" w:color="000000" w:sz="4" w:space="0"/>
              <w:bottom w:val="single" w:color="000000" w:sz="4" w:space="0"/>
              <w:right w:val="single" w:color="000000" w:sz="4" w:space="0"/>
            </w:tcBorders>
            <w:vAlign w:val="center"/>
          </w:tcPr>
          <w:p w14:paraId="206D07B8">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31" w:type="dxa"/>
            <w:tcBorders>
              <w:top w:val="single" w:color="000000" w:sz="4" w:space="0"/>
              <w:left w:val="single" w:color="000000" w:sz="4" w:space="0"/>
              <w:bottom w:val="single" w:color="000000" w:sz="4" w:space="0"/>
              <w:right w:val="single" w:color="000000" w:sz="4" w:space="0"/>
            </w:tcBorders>
            <w:vAlign w:val="center"/>
          </w:tcPr>
          <w:p w14:paraId="0F133B57">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18" w:type="dxa"/>
            <w:vMerge w:val="continue"/>
            <w:tcBorders>
              <w:top w:val="single" w:color="000000" w:sz="4" w:space="0"/>
              <w:left w:val="single" w:color="000000" w:sz="4" w:space="0"/>
              <w:bottom w:val="single" w:color="000000" w:sz="4" w:space="0"/>
              <w:right w:val="single" w:color="000000" w:sz="4" w:space="0"/>
            </w:tcBorders>
            <w:vAlign w:val="center"/>
          </w:tcPr>
          <w:p w14:paraId="687B6FBC">
            <w:pPr>
              <w:rPr>
                <w:rFonts w:hint="eastAsia" w:ascii="黑体" w:hAnsi="黑体" w:eastAsia="黑体" w:cs="黑体"/>
                <w:i/>
                <w:iCs/>
                <w:color w:val="000000"/>
                <w:sz w:val="18"/>
                <w:szCs w:val="18"/>
                <w:u w:val="none"/>
              </w:rPr>
            </w:pPr>
          </w:p>
        </w:tc>
      </w:tr>
      <w:tr w14:paraId="5351F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157738F1">
            <w:pPr>
              <w:jc w:val="cente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5FDC1C02">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925" w:type="dxa"/>
            <w:tcBorders>
              <w:top w:val="single" w:color="000000" w:sz="4" w:space="0"/>
              <w:left w:val="single" w:color="000000" w:sz="4" w:space="0"/>
              <w:bottom w:val="single" w:color="000000" w:sz="4" w:space="0"/>
              <w:right w:val="single" w:color="000000" w:sz="4" w:space="0"/>
            </w:tcBorders>
            <w:vAlign w:val="center"/>
          </w:tcPr>
          <w:p w14:paraId="7C57CFE2">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25" w:type="dxa"/>
            <w:tcBorders>
              <w:top w:val="single" w:color="000000" w:sz="4" w:space="0"/>
              <w:left w:val="single" w:color="000000" w:sz="4" w:space="0"/>
              <w:bottom w:val="single" w:color="000000" w:sz="4" w:space="0"/>
              <w:right w:val="single" w:color="000000" w:sz="4" w:space="0"/>
            </w:tcBorders>
            <w:vAlign w:val="center"/>
          </w:tcPr>
          <w:p w14:paraId="65A06FFB">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614" w:type="dxa"/>
            <w:gridSpan w:val="3"/>
            <w:tcBorders>
              <w:top w:val="single" w:color="000000" w:sz="4" w:space="0"/>
              <w:left w:val="single" w:color="000000" w:sz="4" w:space="0"/>
              <w:bottom w:val="single" w:color="000000" w:sz="4" w:space="0"/>
              <w:right w:val="single" w:color="000000" w:sz="4" w:space="0"/>
            </w:tcBorders>
            <w:vAlign w:val="center"/>
          </w:tcPr>
          <w:p w14:paraId="62EE455B">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70" w:type="dxa"/>
            <w:tcBorders>
              <w:top w:val="single" w:color="000000" w:sz="4" w:space="0"/>
              <w:left w:val="single" w:color="000000" w:sz="4" w:space="0"/>
              <w:bottom w:val="single" w:color="000000" w:sz="4" w:space="0"/>
              <w:right w:val="single" w:color="000000" w:sz="4" w:space="0"/>
            </w:tcBorders>
            <w:vAlign w:val="center"/>
          </w:tcPr>
          <w:p w14:paraId="5B72972E">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05" w:type="dxa"/>
            <w:tcBorders>
              <w:top w:val="single" w:color="000000" w:sz="4" w:space="0"/>
              <w:left w:val="single" w:color="000000" w:sz="4" w:space="0"/>
              <w:bottom w:val="single" w:color="000000" w:sz="4" w:space="0"/>
              <w:right w:val="single" w:color="000000" w:sz="4" w:space="0"/>
            </w:tcBorders>
            <w:vAlign w:val="center"/>
          </w:tcPr>
          <w:p w14:paraId="1B94675B">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31" w:type="dxa"/>
            <w:tcBorders>
              <w:top w:val="single" w:color="000000" w:sz="4" w:space="0"/>
              <w:left w:val="single" w:color="000000" w:sz="4" w:space="0"/>
              <w:bottom w:val="single" w:color="000000" w:sz="4" w:space="0"/>
              <w:right w:val="single" w:color="000000" w:sz="4" w:space="0"/>
            </w:tcBorders>
            <w:vAlign w:val="center"/>
          </w:tcPr>
          <w:p w14:paraId="2F6EC1B9">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18" w:type="dxa"/>
            <w:vMerge w:val="continue"/>
            <w:tcBorders>
              <w:top w:val="single" w:color="000000" w:sz="4" w:space="0"/>
              <w:left w:val="single" w:color="000000" w:sz="4" w:space="0"/>
              <w:bottom w:val="single" w:color="000000" w:sz="4" w:space="0"/>
              <w:right w:val="single" w:color="000000" w:sz="4" w:space="0"/>
            </w:tcBorders>
            <w:vAlign w:val="center"/>
          </w:tcPr>
          <w:p w14:paraId="387FFF3A">
            <w:pPr>
              <w:rPr>
                <w:rFonts w:hint="eastAsia" w:ascii="黑体" w:hAnsi="黑体" w:eastAsia="黑体" w:cs="黑体"/>
                <w:i/>
                <w:iCs/>
                <w:color w:val="000000"/>
                <w:sz w:val="18"/>
                <w:szCs w:val="18"/>
                <w:u w:val="none"/>
              </w:rPr>
            </w:pPr>
          </w:p>
        </w:tc>
      </w:tr>
      <w:tr w14:paraId="7C5D0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24A3C293">
            <w:pPr>
              <w:jc w:val="cente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7DCCABB3">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925" w:type="dxa"/>
            <w:tcBorders>
              <w:top w:val="single" w:color="000000" w:sz="4" w:space="0"/>
              <w:left w:val="single" w:color="000000" w:sz="4" w:space="0"/>
              <w:bottom w:val="single" w:color="000000" w:sz="4" w:space="0"/>
              <w:right w:val="single" w:color="000000" w:sz="4" w:space="0"/>
            </w:tcBorders>
            <w:vAlign w:val="center"/>
          </w:tcPr>
          <w:p w14:paraId="07D25B6E">
            <w:pPr>
              <w:jc w:val="center"/>
              <w:rPr>
                <w:rFonts w:hint="eastAsia" w:ascii="微软雅黑" w:hAnsi="微软雅黑" w:eastAsia="微软雅黑" w:cs="微软雅黑"/>
                <w:i/>
                <w:iCs/>
                <w:color w:val="000000"/>
                <w:sz w:val="16"/>
                <w:szCs w:val="16"/>
                <w:u w:val="none"/>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04FFFD0F">
            <w:pPr>
              <w:jc w:val="center"/>
              <w:rPr>
                <w:rFonts w:hint="eastAsia" w:ascii="微软雅黑" w:hAnsi="微软雅黑" w:eastAsia="微软雅黑" w:cs="微软雅黑"/>
                <w:i/>
                <w:iCs/>
                <w:color w:val="000000"/>
                <w:sz w:val="16"/>
                <w:szCs w:val="16"/>
                <w:u w:val="none"/>
              </w:rPr>
            </w:pPr>
          </w:p>
        </w:tc>
        <w:tc>
          <w:tcPr>
            <w:tcW w:w="2614" w:type="dxa"/>
            <w:gridSpan w:val="3"/>
            <w:tcBorders>
              <w:top w:val="single" w:color="000000" w:sz="4" w:space="0"/>
              <w:left w:val="single" w:color="000000" w:sz="4" w:space="0"/>
              <w:bottom w:val="single" w:color="000000" w:sz="4" w:space="0"/>
              <w:right w:val="single" w:color="000000" w:sz="4" w:space="0"/>
            </w:tcBorders>
            <w:vAlign w:val="center"/>
          </w:tcPr>
          <w:p w14:paraId="2448C855">
            <w:pPr>
              <w:jc w:val="center"/>
              <w:rPr>
                <w:rFonts w:hint="eastAsia" w:ascii="微软雅黑" w:hAnsi="微软雅黑" w:eastAsia="微软雅黑" w:cs="微软雅黑"/>
                <w:i/>
                <w:iCs/>
                <w:color w:val="000000"/>
                <w:sz w:val="16"/>
                <w:szCs w:val="16"/>
                <w:u w:val="none"/>
              </w:rPr>
            </w:pPr>
          </w:p>
        </w:tc>
        <w:tc>
          <w:tcPr>
            <w:tcW w:w="970" w:type="dxa"/>
            <w:tcBorders>
              <w:top w:val="single" w:color="000000" w:sz="4" w:space="0"/>
              <w:left w:val="single" w:color="000000" w:sz="4" w:space="0"/>
              <w:bottom w:val="single" w:color="000000" w:sz="4" w:space="0"/>
              <w:right w:val="single" w:color="000000" w:sz="4" w:space="0"/>
            </w:tcBorders>
            <w:vAlign w:val="center"/>
          </w:tcPr>
          <w:p w14:paraId="3406EAF1">
            <w:pPr>
              <w:jc w:val="center"/>
              <w:rPr>
                <w:rFonts w:hint="eastAsia" w:ascii="微软雅黑" w:hAnsi="微软雅黑" w:eastAsia="微软雅黑" w:cs="微软雅黑"/>
                <w:i/>
                <w:iCs/>
                <w:color w:val="000000"/>
                <w:sz w:val="16"/>
                <w:szCs w:val="16"/>
                <w:u w:val="none"/>
              </w:rPr>
            </w:pPr>
          </w:p>
        </w:tc>
        <w:tc>
          <w:tcPr>
            <w:tcW w:w="805" w:type="dxa"/>
            <w:tcBorders>
              <w:top w:val="single" w:color="000000" w:sz="4" w:space="0"/>
              <w:left w:val="single" w:color="000000" w:sz="4" w:space="0"/>
              <w:bottom w:val="single" w:color="000000" w:sz="4" w:space="0"/>
              <w:right w:val="single" w:color="000000" w:sz="4" w:space="0"/>
            </w:tcBorders>
            <w:vAlign w:val="center"/>
          </w:tcPr>
          <w:p w14:paraId="08F85BF1">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31" w:type="dxa"/>
            <w:tcBorders>
              <w:top w:val="single" w:color="000000" w:sz="4" w:space="0"/>
              <w:left w:val="single" w:color="000000" w:sz="4" w:space="0"/>
              <w:bottom w:val="single" w:color="000000" w:sz="4" w:space="0"/>
              <w:right w:val="single" w:color="000000" w:sz="4" w:space="0"/>
            </w:tcBorders>
            <w:vAlign w:val="center"/>
          </w:tcPr>
          <w:p w14:paraId="3BBD0856">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18" w:type="dxa"/>
            <w:vMerge w:val="continue"/>
            <w:tcBorders>
              <w:top w:val="single" w:color="000000" w:sz="4" w:space="0"/>
              <w:left w:val="single" w:color="000000" w:sz="4" w:space="0"/>
              <w:bottom w:val="single" w:color="000000" w:sz="4" w:space="0"/>
              <w:right w:val="single" w:color="000000" w:sz="4" w:space="0"/>
            </w:tcBorders>
            <w:vAlign w:val="center"/>
          </w:tcPr>
          <w:p w14:paraId="14D36738">
            <w:pPr>
              <w:rPr>
                <w:rFonts w:hint="eastAsia" w:ascii="黑体" w:hAnsi="黑体" w:eastAsia="黑体" w:cs="黑体"/>
                <w:i/>
                <w:iCs/>
                <w:color w:val="000000"/>
                <w:sz w:val="18"/>
                <w:szCs w:val="18"/>
                <w:u w:val="none"/>
              </w:rPr>
            </w:pPr>
          </w:p>
        </w:tc>
      </w:tr>
      <w:tr w14:paraId="5ADDF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restart"/>
            <w:tcBorders>
              <w:top w:val="single" w:color="000000" w:sz="4" w:space="0"/>
              <w:left w:val="single" w:color="000000" w:sz="4" w:space="0"/>
              <w:bottom w:val="single" w:color="000000" w:sz="4" w:space="0"/>
              <w:right w:val="single" w:color="000000" w:sz="4" w:space="0"/>
            </w:tcBorders>
            <w:vAlign w:val="center"/>
          </w:tcPr>
          <w:p w14:paraId="6B977800">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953" w:type="dxa"/>
            <w:tcBorders>
              <w:top w:val="single" w:color="000000" w:sz="4" w:space="0"/>
              <w:left w:val="single" w:color="000000" w:sz="4" w:space="0"/>
              <w:bottom w:val="single" w:color="000000" w:sz="4" w:space="0"/>
              <w:right w:val="single" w:color="000000" w:sz="4" w:space="0"/>
            </w:tcBorders>
            <w:vAlign w:val="center"/>
          </w:tcPr>
          <w:p w14:paraId="53350CB1">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925" w:type="dxa"/>
            <w:tcBorders>
              <w:top w:val="single" w:color="000000" w:sz="4" w:space="0"/>
              <w:left w:val="single" w:color="000000" w:sz="4" w:space="0"/>
              <w:bottom w:val="single" w:color="000000" w:sz="4" w:space="0"/>
              <w:right w:val="single" w:color="000000" w:sz="4" w:space="0"/>
            </w:tcBorders>
            <w:vAlign w:val="center"/>
          </w:tcPr>
          <w:p w14:paraId="674622D9">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925" w:type="dxa"/>
            <w:tcBorders>
              <w:top w:val="single" w:color="000000" w:sz="4" w:space="0"/>
              <w:left w:val="single" w:color="000000" w:sz="4" w:space="0"/>
              <w:bottom w:val="single" w:color="000000" w:sz="4" w:space="0"/>
              <w:right w:val="single" w:color="000000" w:sz="4" w:space="0"/>
            </w:tcBorders>
            <w:vAlign w:val="center"/>
          </w:tcPr>
          <w:p w14:paraId="04DF83C2">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892" w:type="dxa"/>
            <w:tcBorders>
              <w:top w:val="single" w:color="000000" w:sz="4" w:space="0"/>
              <w:left w:val="single" w:color="000000" w:sz="4" w:space="0"/>
              <w:bottom w:val="single" w:color="000000" w:sz="4" w:space="0"/>
              <w:right w:val="single" w:color="000000" w:sz="4" w:space="0"/>
            </w:tcBorders>
            <w:vAlign w:val="center"/>
          </w:tcPr>
          <w:p w14:paraId="57163EB7">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909" w:type="dxa"/>
            <w:tcBorders>
              <w:top w:val="single" w:color="000000" w:sz="4" w:space="0"/>
              <w:left w:val="single" w:color="000000" w:sz="4" w:space="0"/>
              <w:bottom w:val="single" w:color="000000" w:sz="4" w:space="0"/>
              <w:right w:val="single" w:color="000000" w:sz="4" w:space="0"/>
            </w:tcBorders>
            <w:vAlign w:val="center"/>
          </w:tcPr>
          <w:p w14:paraId="400CC102">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813" w:type="dxa"/>
            <w:tcBorders>
              <w:top w:val="single" w:color="000000" w:sz="4" w:space="0"/>
              <w:left w:val="single" w:color="000000" w:sz="4" w:space="0"/>
              <w:bottom w:val="single" w:color="000000" w:sz="4" w:space="0"/>
              <w:right w:val="single" w:color="000000" w:sz="4" w:space="0"/>
            </w:tcBorders>
            <w:vAlign w:val="center"/>
          </w:tcPr>
          <w:p w14:paraId="7E898F79">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970" w:type="dxa"/>
            <w:tcBorders>
              <w:top w:val="single" w:color="000000" w:sz="4" w:space="0"/>
              <w:left w:val="single" w:color="000000" w:sz="4" w:space="0"/>
              <w:bottom w:val="single" w:color="000000" w:sz="4" w:space="0"/>
              <w:right w:val="single" w:color="000000" w:sz="4" w:space="0"/>
            </w:tcBorders>
            <w:vAlign w:val="center"/>
          </w:tcPr>
          <w:p w14:paraId="6A7895C1">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805" w:type="dxa"/>
            <w:tcBorders>
              <w:top w:val="single" w:color="000000" w:sz="4" w:space="0"/>
              <w:left w:val="single" w:color="000000" w:sz="4" w:space="0"/>
              <w:bottom w:val="single" w:color="000000" w:sz="4" w:space="0"/>
              <w:right w:val="single" w:color="000000" w:sz="4" w:space="0"/>
            </w:tcBorders>
            <w:vAlign w:val="center"/>
          </w:tcPr>
          <w:p w14:paraId="463EBA61">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731" w:type="dxa"/>
            <w:tcBorders>
              <w:top w:val="single" w:color="000000" w:sz="4" w:space="0"/>
              <w:left w:val="single" w:color="000000" w:sz="4" w:space="0"/>
              <w:bottom w:val="single" w:color="000000" w:sz="4" w:space="0"/>
              <w:right w:val="single" w:color="000000" w:sz="4" w:space="0"/>
            </w:tcBorders>
            <w:vAlign w:val="center"/>
          </w:tcPr>
          <w:p w14:paraId="739DB44C">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918" w:type="dxa"/>
            <w:tcBorders>
              <w:top w:val="single" w:color="000000" w:sz="4" w:space="0"/>
              <w:left w:val="single" w:color="000000" w:sz="4" w:space="0"/>
              <w:bottom w:val="single" w:color="000000" w:sz="4" w:space="0"/>
              <w:right w:val="single" w:color="000000" w:sz="4" w:space="0"/>
            </w:tcBorders>
            <w:vAlign w:val="center"/>
          </w:tcPr>
          <w:p w14:paraId="5DF2010A">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1A658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6618DA77">
            <w:pPr>
              <w:jc w:val="center"/>
              <w:rPr>
                <w:rFonts w:hint="eastAsia" w:ascii="宋体" w:hAnsi="宋体" w:eastAsia="宋体" w:cs="宋体"/>
                <w:i w:val="0"/>
                <w:iCs w:val="0"/>
                <w:color w:val="000000"/>
                <w:sz w:val="18"/>
                <w:szCs w:val="18"/>
                <w:u w:val="none"/>
              </w:rPr>
            </w:pPr>
          </w:p>
        </w:tc>
        <w:tc>
          <w:tcPr>
            <w:tcW w:w="953" w:type="dxa"/>
            <w:vMerge w:val="restart"/>
            <w:tcBorders>
              <w:top w:val="single" w:color="000000" w:sz="4" w:space="0"/>
              <w:left w:val="single" w:color="000000" w:sz="4" w:space="0"/>
              <w:bottom w:val="single" w:color="000000" w:sz="4" w:space="0"/>
              <w:right w:val="single" w:color="000000" w:sz="4" w:space="0"/>
            </w:tcBorders>
            <w:vAlign w:val="center"/>
          </w:tcPr>
          <w:p w14:paraId="78549981">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925" w:type="dxa"/>
            <w:vMerge w:val="restart"/>
            <w:tcBorders>
              <w:top w:val="single" w:color="000000" w:sz="4" w:space="0"/>
              <w:left w:val="single" w:color="000000" w:sz="4" w:space="0"/>
              <w:bottom w:val="single" w:color="000000" w:sz="4" w:space="0"/>
              <w:right w:val="single" w:color="000000" w:sz="4" w:space="0"/>
            </w:tcBorders>
            <w:vAlign w:val="center"/>
          </w:tcPr>
          <w:p w14:paraId="681A0539">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925" w:type="dxa"/>
            <w:tcBorders>
              <w:top w:val="single" w:color="000000" w:sz="4" w:space="0"/>
              <w:left w:val="single" w:color="000000" w:sz="4" w:space="0"/>
              <w:bottom w:val="single" w:color="000000" w:sz="4" w:space="0"/>
              <w:right w:val="single" w:color="000000" w:sz="4" w:space="0"/>
            </w:tcBorders>
            <w:vAlign w:val="center"/>
          </w:tcPr>
          <w:p w14:paraId="6B5C3039">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足额保障率</w:t>
            </w:r>
          </w:p>
        </w:tc>
        <w:tc>
          <w:tcPr>
            <w:tcW w:w="892" w:type="dxa"/>
            <w:tcBorders>
              <w:top w:val="single" w:color="000000" w:sz="4" w:space="0"/>
              <w:left w:val="single" w:color="000000" w:sz="4" w:space="0"/>
              <w:bottom w:val="single" w:color="000000" w:sz="4" w:space="0"/>
              <w:right w:val="single" w:color="000000" w:sz="4" w:space="0"/>
            </w:tcBorders>
            <w:vAlign w:val="center"/>
          </w:tcPr>
          <w:p w14:paraId="0F83A71D">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09" w:type="dxa"/>
            <w:tcBorders>
              <w:top w:val="single" w:color="000000" w:sz="4" w:space="0"/>
              <w:left w:val="single" w:color="000000" w:sz="4" w:space="0"/>
              <w:bottom w:val="single" w:color="000000" w:sz="4" w:space="0"/>
              <w:right w:val="single" w:color="000000" w:sz="4" w:space="0"/>
            </w:tcBorders>
            <w:vAlign w:val="center"/>
          </w:tcPr>
          <w:p w14:paraId="7592404D">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813" w:type="dxa"/>
            <w:tcBorders>
              <w:top w:val="single" w:color="000000" w:sz="4" w:space="0"/>
              <w:left w:val="single" w:color="000000" w:sz="4" w:space="0"/>
              <w:bottom w:val="single" w:color="000000" w:sz="4" w:space="0"/>
              <w:right w:val="single" w:color="000000" w:sz="4" w:space="0"/>
            </w:tcBorders>
            <w:vAlign w:val="center"/>
          </w:tcPr>
          <w:p w14:paraId="14B58A68">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70" w:type="dxa"/>
            <w:tcBorders>
              <w:top w:val="single" w:color="000000" w:sz="4" w:space="0"/>
              <w:left w:val="single" w:color="000000" w:sz="4" w:space="0"/>
              <w:bottom w:val="single" w:color="000000" w:sz="4" w:space="0"/>
              <w:right w:val="single" w:color="000000" w:sz="4" w:space="0"/>
            </w:tcBorders>
            <w:vAlign w:val="center"/>
          </w:tcPr>
          <w:p w14:paraId="29C7A4D0">
            <w:pPr>
              <w:jc w:val="center"/>
              <w:rPr>
                <w:rFonts w:hint="eastAsia" w:ascii="微软雅黑" w:hAnsi="微软雅黑" w:eastAsia="微软雅黑" w:cs="微软雅黑"/>
                <w:i/>
                <w:iCs/>
                <w:color w:val="000000"/>
                <w:sz w:val="16"/>
                <w:szCs w:val="16"/>
                <w:u w:val="none"/>
              </w:rPr>
            </w:pPr>
          </w:p>
        </w:tc>
        <w:tc>
          <w:tcPr>
            <w:tcW w:w="805" w:type="dxa"/>
            <w:tcBorders>
              <w:top w:val="single" w:color="000000" w:sz="4" w:space="0"/>
              <w:left w:val="single" w:color="000000" w:sz="4" w:space="0"/>
              <w:bottom w:val="single" w:color="000000" w:sz="4" w:space="0"/>
              <w:right w:val="single" w:color="000000" w:sz="4" w:space="0"/>
            </w:tcBorders>
            <w:vAlign w:val="center"/>
          </w:tcPr>
          <w:p w14:paraId="77EA38B9">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22.5</w:t>
            </w:r>
          </w:p>
        </w:tc>
        <w:tc>
          <w:tcPr>
            <w:tcW w:w="731" w:type="dxa"/>
            <w:tcBorders>
              <w:top w:val="single" w:color="000000" w:sz="4" w:space="0"/>
              <w:left w:val="single" w:color="000000" w:sz="4" w:space="0"/>
              <w:bottom w:val="single" w:color="000000" w:sz="4" w:space="0"/>
              <w:right w:val="single" w:color="000000" w:sz="4" w:space="0"/>
            </w:tcBorders>
            <w:vAlign w:val="center"/>
          </w:tcPr>
          <w:p w14:paraId="222AA283">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22.5</w:t>
            </w:r>
          </w:p>
        </w:tc>
        <w:tc>
          <w:tcPr>
            <w:tcW w:w="918" w:type="dxa"/>
            <w:tcBorders>
              <w:top w:val="single" w:color="000000" w:sz="4" w:space="0"/>
              <w:left w:val="single" w:color="000000" w:sz="4" w:space="0"/>
              <w:bottom w:val="single" w:color="000000" w:sz="4" w:space="0"/>
              <w:right w:val="single" w:color="000000" w:sz="4" w:space="0"/>
            </w:tcBorders>
            <w:vAlign w:val="center"/>
          </w:tcPr>
          <w:p w14:paraId="29E6E7A6">
            <w:pPr>
              <w:jc w:val="center"/>
              <w:rPr>
                <w:rFonts w:hint="eastAsia" w:ascii="微软雅黑" w:hAnsi="微软雅黑" w:eastAsia="微软雅黑" w:cs="微软雅黑"/>
                <w:i/>
                <w:iCs/>
                <w:color w:val="000000"/>
                <w:sz w:val="16"/>
                <w:szCs w:val="16"/>
                <w:u w:val="none"/>
              </w:rPr>
            </w:pPr>
          </w:p>
        </w:tc>
      </w:tr>
      <w:tr w14:paraId="20E87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65181677">
            <w:pPr>
              <w:jc w:val="center"/>
              <w:rPr>
                <w:rFonts w:hint="eastAsia" w:ascii="宋体" w:hAnsi="宋体" w:eastAsia="宋体" w:cs="宋体"/>
                <w:i w:val="0"/>
                <w:iCs w:val="0"/>
                <w:color w:val="000000"/>
                <w:sz w:val="18"/>
                <w:szCs w:val="18"/>
                <w:u w:val="none"/>
              </w:rPr>
            </w:pPr>
          </w:p>
        </w:tc>
        <w:tc>
          <w:tcPr>
            <w:tcW w:w="953" w:type="dxa"/>
            <w:vMerge w:val="continue"/>
            <w:tcBorders>
              <w:top w:val="single" w:color="000000" w:sz="4" w:space="0"/>
              <w:left w:val="single" w:color="000000" w:sz="4" w:space="0"/>
              <w:bottom w:val="single" w:color="000000" w:sz="4" w:space="0"/>
              <w:right w:val="single" w:color="000000" w:sz="4" w:space="0"/>
            </w:tcBorders>
            <w:vAlign w:val="center"/>
          </w:tcPr>
          <w:p w14:paraId="4FD1D318">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vAlign w:val="center"/>
          </w:tcPr>
          <w:p w14:paraId="10335BD4">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55BB4F44">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科目调整次数</w:t>
            </w:r>
          </w:p>
        </w:tc>
        <w:tc>
          <w:tcPr>
            <w:tcW w:w="892" w:type="dxa"/>
            <w:tcBorders>
              <w:top w:val="single" w:color="000000" w:sz="4" w:space="0"/>
              <w:left w:val="single" w:color="000000" w:sz="4" w:space="0"/>
              <w:bottom w:val="single" w:color="000000" w:sz="4" w:space="0"/>
              <w:right w:val="single" w:color="000000" w:sz="4" w:space="0"/>
            </w:tcBorders>
            <w:vAlign w:val="center"/>
          </w:tcPr>
          <w:p w14:paraId="0F5967DA">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09" w:type="dxa"/>
            <w:tcBorders>
              <w:top w:val="single" w:color="000000" w:sz="4" w:space="0"/>
              <w:left w:val="single" w:color="000000" w:sz="4" w:space="0"/>
              <w:bottom w:val="single" w:color="000000" w:sz="4" w:space="0"/>
              <w:right w:val="single" w:color="000000" w:sz="4" w:space="0"/>
            </w:tcBorders>
            <w:vAlign w:val="center"/>
          </w:tcPr>
          <w:p w14:paraId="4AF5D2EE">
            <w:pPr>
              <w:widowControl/>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rPr>
              <w:t>10</w:t>
            </w:r>
          </w:p>
        </w:tc>
        <w:tc>
          <w:tcPr>
            <w:tcW w:w="813" w:type="dxa"/>
            <w:tcBorders>
              <w:top w:val="single" w:color="000000" w:sz="4" w:space="0"/>
              <w:left w:val="single" w:color="000000" w:sz="4" w:space="0"/>
              <w:bottom w:val="single" w:color="000000" w:sz="4" w:space="0"/>
              <w:right w:val="single" w:color="000000" w:sz="4" w:space="0"/>
            </w:tcBorders>
            <w:vAlign w:val="center"/>
          </w:tcPr>
          <w:p w14:paraId="0D5E12EA">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次</w:t>
            </w:r>
          </w:p>
        </w:tc>
        <w:tc>
          <w:tcPr>
            <w:tcW w:w="970" w:type="dxa"/>
            <w:tcBorders>
              <w:top w:val="single" w:color="000000" w:sz="4" w:space="0"/>
              <w:left w:val="single" w:color="000000" w:sz="4" w:space="0"/>
              <w:bottom w:val="single" w:color="000000" w:sz="4" w:space="0"/>
              <w:right w:val="single" w:color="000000" w:sz="4" w:space="0"/>
            </w:tcBorders>
            <w:vAlign w:val="center"/>
          </w:tcPr>
          <w:p w14:paraId="223EEFD2">
            <w:pPr>
              <w:jc w:val="center"/>
              <w:rPr>
                <w:rFonts w:hint="eastAsia" w:ascii="微软雅黑" w:hAnsi="微软雅黑" w:eastAsia="微软雅黑" w:cs="微软雅黑"/>
                <w:i/>
                <w:iCs/>
                <w:color w:val="000000"/>
                <w:sz w:val="16"/>
                <w:szCs w:val="16"/>
                <w:u w:val="none"/>
              </w:rPr>
            </w:pPr>
          </w:p>
        </w:tc>
        <w:tc>
          <w:tcPr>
            <w:tcW w:w="805" w:type="dxa"/>
            <w:tcBorders>
              <w:top w:val="single" w:color="000000" w:sz="4" w:space="0"/>
              <w:left w:val="single" w:color="000000" w:sz="4" w:space="0"/>
              <w:bottom w:val="single" w:color="000000" w:sz="4" w:space="0"/>
              <w:right w:val="single" w:color="000000" w:sz="4" w:space="0"/>
            </w:tcBorders>
            <w:vAlign w:val="center"/>
          </w:tcPr>
          <w:p w14:paraId="69BF3822">
            <w:pPr>
              <w:widowControl/>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rPr>
              <w:t>22.5</w:t>
            </w:r>
          </w:p>
        </w:tc>
        <w:tc>
          <w:tcPr>
            <w:tcW w:w="731" w:type="dxa"/>
            <w:tcBorders>
              <w:top w:val="single" w:color="000000" w:sz="4" w:space="0"/>
              <w:left w:val="single" w:color="000000" w:sz="4" w:space="0"/>
              <w:bottom w:val="single" w:color="000000" w:sz="4" w:space="0"/>
              <w:right w:val="single" w:color="000000" w:sz="4" w:space="0"/>
            </w:tcBorders>
            <w:vAlign w:val="center"/>
          </w:tcPr>
          <w:p w14:paraId="67CF903B">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19</w:t>
            </w:r>
          </w:p>
        </w:tc>
        <w:tc>
          <w:tcPr>
            <w:tcW w:w="918" w:type="dxa"/>
            <w:tcBorders>
              <w:top w:val="single" w:color="000000" w:sz="4" w:space="0"/>
              <w:left w:val="single" w:color="000000" w:sz="4" w:space="0"/>
              <w:bottom w:val="single" w:color="000000" w:sz="4" w:space="0"/>
              <w:right w:val="single" w:color="000000" w:sz="4" w:space="0"/>
            </w:tcBorders>
            <w:vAlign w:val="center"/>
          </w:tcPr>
          <w:p w14:paraId="1989C1B4">
            <w:pPr>
              <w:jc w:val="center"/>
              <w:rPr>
                <w:rFonts w:hint="eastAsia" w:ascii="微软雅黑" w:hAnsi="微软雅黑" w:eastAsia="微软雅黑" w:cs="微软雅黑"/>
                <w:i/>
                <w:iCs/>
                <w:color w:val="000000"/>
                <w:sz w:val="16"/>
                <w:szCs w:val="16"/>
                <w:u w:val="none"/>
              </w:rPr>
            </w:pPr>
          </w:p>
        </w:tc>
      </w:tr>
      <w:tr w14:paraId="3F1D7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147ECC09">
            <w:pPr>
              <w:jc w:val="center"/>
              <w:rPr>
                <w:rFonts w:hint="eastAsia" w:ascii="宋体" w:hAnsi="宋体" w:eastAsia="宋体" w:cs="宋体"/>
                <w:i w:val="0"/>
                <w:iCs w:val="0"/>
                <w:color w:val="000000"/>
                <w:sz w:val="18"/>
                <w:szCs w:val="18"/>
                <w:u w:val="none"/>
              </w:rPr>
            </w:pPr>
          </w:p>
        </w:tc>
        <w:tc>
          <w:tcPr>
            <w:tcW w:w="953" w:type="dxa"/>
            <w:vMerge w:val="continue"/>
            <w:tcBorders>
              <w:top w:val="single" w:color="000000" w:sz="4" w:space="0"/>
              <w:left w:val="single" w:color="000000" w:sz="4" w:space="0"/>
              <w:bottom w:val="single" w:color="000000" w:sz="4" w:space="0"/>
              <w:right w:val="single" w:color="000000" w:sz="4" w:space="0"/>
            </w:tcBorders>
            <w:vAlign w:val="center"/>
          </w:tcPr>
          <w:p w14:paraId="75DE93DC">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095BA151">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925" w:type="dxa"/>
            <w:tcBorders>
              <w:top w:val="single" w:color="000000" w:sz="4" w:space="0"/>
              <w:left w:val="single" w:color="000000" w:sz="4" w:space="0"/>
              <w:bottom w:val="single" w:color="000000" w:sz="4" w:space="0"/>
              <w:right w:val="single" w:color="000000" w:sz="4" w:space="0"/>
            </w:tcBorders>
            <w:vAlign w:val="center"/>
          </w:tcPr>
          <w:p w14:paraId="17523361">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按时发放率</w:t>
            </w:r>
          </w:p>
        </w:tc>
        <w:tc>
          <w:tcPr>
            <w:tcW w:w="892" w:type="dxa"/>
            <w:tcBorders>
              <w:top w:val="single" w:color="000000" w:sz="4" w:space="0"/>
              <w:left w:val="single" w:color="000000" w:sz="4" w:space="0"/>
              <w:bottom w:val="single" w:color="000000" w:sz="4" w:space="0"/>
              <w:right w:val="single" w:color="000000" w:sz="4" w:space="0"/>
            </w:tcBorders>
            <w:vAlign w:val="center"/>
          </w:tcPr>
          <w:p w14:paraId="2F7620F2">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09" w:type="dxa"/>
            <w:tcBorders>
              <w:top w:val="single" w:color="000000" w:sz="4" w:space="0"/>
              <w:left w:val="single" w:color="000000" w:sz="4" w:space="0"/>
              <w:bottom w:val="single" w:color="000000" w:sz="4" w:space="0"/>
              <w:right w:val="single" w:color="000000" w:sz="4" w:space="0"/>
            </w:tcBorders>
            <w:vAlign w:val="center"/>
          </w:tcPr>
          <w:p w14:paraId="7E0A8C05">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813" w:type="dxa"/>
            <w:tcBorders>
              <w:top w:val="single" w:color="000000" w:sz="4" w:space="0"/>
              <w:left w:val="single" w:color="000000" w:sz="4" w:space="0"/>
              <w:bottom w:val="single" w:color="000000" w:sz="4" w:space="0"/>
              <w:right w:val="single" w:color="000000" w:sz="4" w:space="0"/>
            </w:tcBorders>
            <w:vAlign w:val="center"/>
          </w:tcPr>
          <w:p w14:paraId="431942CB">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70" w:type="dxa"/>
            <w:tcBorders>
              <w:top w:val="single" w:color="000000" w:sz="4" w:space="0"/>
              <w:left w:val="single" w:color="000000" w:sz="4" w:space="0"/>
              <w:bottom w:val="single" w:color="000000" w:sz="4" w:space="0"/>
              <w:right w:val="single" w:color="000000" w:sz="4" w:space="0"/>
            </w:tcBorders>
            <w:vAlign w:val="center"/>
          </w:tcPr>
          <w:p w14:paraId="17CB51B2">
            <w:pPr>
              <w:jc w:val="center"/>
              <w:rPr>
                <w:rFonts w:hint="eastAsia" w:ascii="微软雅黑" w:hAnsi="微软雅黑" w:eastAsia="微软雅黑" w:cs="微软雅黑"/>
                <w:i/>
                <w:iCs/>
                <w:color w:val="000000"/>
                <w:sz w:val="16"/>
                <w:szCs w:val="16"/>
                <w:u w:val="none"/>
              </w:rPr>
            </w:pPr>
          </w:p>
        </w:tc>
        <w:tc>
          <w:tcPr>
            <w:tcW w:w="805" w:type="dxa"/>
            <w:tcBorders>
              <w:top w:val="single" w:color="000000" w:sz="4" w:space="0"/>
              <w:left w:val="single" w:color="000000" w:sz="4" w:space="0"/>
              <w:bottom w:val="single" w:color="000000" w:sz="4" w:space="0"/>
              <w:right w:val="single" w:color="000000" w:sz="4" w:space="0"/>
            </w:tcBorders>
            <w:vAlign w:val="center"/>
          </w:tcPr>
          <w:p w14:paraId="0ECE791B">
            <w:pPr>
              <w:widowControl/>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rPr>
              <w:t>22.5</w:t>
            </w:r>
          </w:p>
        </w:tc>
        <w:tc>
          <w:tcPr>
            <w:tcW w:w="731" w:type="dxa"/>
            <w:tcBorders>
              <w:top w:val="single" w:color="000000" w:sz="4" w:space="0"/>
              <w:left w:val="single" w:color="000000" w:sz="4" w:space="0"/>
              <w:bottom w:val="single" w:color="000000" w:sz="4" w:space="0"/>
              <w:right w:val="single" w:color="000000" w:sz="4" w:space="0"/>
            </w:tcBorders>
            <w:vAlign w:val="center"/>
          </w:tcPr>
          <w:p w14:paraId="06B535BC">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18</w:t>
            </w:r>
          </w:p>
        </w:tc>
        <w:tc>
          <w:tcPr>
            <w:tcW w:w="918" w:type="dxa"/>
            <w:tcBorders>
              <w:top w:val="single" w:color="000000" w:sz="4" w:space="0"/>
              <w:left w:val="single" w:color="000000" w:sz="4" w:space="0"/>
              <w:bottom w:val="single" w:color="000000" w:sz="4" w:space="0"/>
              <w:right w:val="single" w:color="000000" w:sz="4" w:space="0"/>
            </w:tcBorders>
            <w:vAlign w:val="center"/>
          </w:tcPr>
          <w:p w14:paraId="08076522">
            <w:pPr>
              <w:jc w:val="center"/>
              <w:rPr>
                <w:rFonts w:hint="eastAsia" w:ascii="微软雅黑" w:hAnsi="微软雅黑" w:eastAsia="微软雅黑" w:cs="微软雅黑"/>
                <w:i/>
                <w:iCs/>
                <w:color w:val="000000"/>
                <w:sz w:val="16"/>
                <w:szCs w:val="16"/>
                <w:u w:val="none"/>
              </w:rPr>
            </w:pPr>
          </w:p>
        </w:tc>
      </w:tr>
      <w:tr w14:paraId="44FB3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0D2740E1">
            <w:pPr>
              <w:jc w:val="cente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7793BFD2">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925" w:type="dxa"/>
            <w:tcBorders>
              <w:top w:val="single" w:color="000000" w:sz="4" w:space="0"/>
              <w:left w:val="single" w:color="000000" w:sz="4" w:space="0"/>
              <w:bottom w:val="single" w:color="000000" w:sz="4" w:space="0"/>
              <w:right w:val="single" w:color="000000" w:sz="4" w:space="0"/>
            </w:tcBorders>
            <w:vAlign w:val="center"/>
          </w:tcPr>
          <w:p w14:paraId="2690D973">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925" w:type="dxa"/>
            <w:tcBorders>
              <w:top w:val="single" w:color="000000" w:sz="4" w:space="0"/>
              <w:left w:val="single" w:color="000000" w:sz="4" w:space="0"/>
              <w:bottom w:val="single" w:color="000000" w:sz="4" w:space="0"/>
              <w:right w:val="single" w:color="000000" w:sz="4" w:space="0"/>
            </w:tcBorders>
            <w:vAlign w:val="center"/>
          </w:tcPr>
          <w:p w14:paraId="0F519F6D">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结余率（计算方法为：结余数/预算数）</w:t>
            </w:r>
          </w:p>
        </w:tc>
        <w:tc>
          <w:tcPr>
            <w:tcW w:w="892" w:type="dxa"/>
            <w:tcBorders>
              <w:top w:val="single" w:color="000000" w:sz="4" w:space="0"/>
              <w:left w:val="single" w:color="000000" w:sz="4" w:space="0"/>
              <w:bottom w:val="single" w:color="000000" w:sz="4" w:space="0"/>
              <w:right w:val="single" w:color="000000" w:sz="4" w:space="0"/>
            </w:tcBorders>
            <w:vAlign w:val="center"/>
          </w:tcPr>
          <w:p w14:paraId="4B9A8345">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09" w:type="dxa"/>
            <w:tcBorders>
              <w:top w:val="single" w:color="000000" w:sz="4" w:space="0"/>
              <w:left w:val="single" w:color="000000" w:sz="4" w:space="0"/>
              <w:bottom w:val="single" w:color="000000" w:sz="4" w:space="0"/>
              <w:right w:val="single" w:color="000000" w:sz="4" w:space="0"/>
            </w:tcBorders>
            <w:vAlign w:val="center"/>
          </w:tcPr>
          <w:p w14:paraId="77791371">
            <w:pPr>
              <w:widowControl/>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5</w:t>
            </w:r>
          </w:p>
        </w:tc>
        <w:tc>
          <w:tcPr>
            <w:tcW w:w="813" w:type="dxa"/>
            <w:tcBorders>
              <w:top w:val="single" w:color="000000" w:sz="4" w:space="0"/>
              <w:left w:val="single" w:color="000000" w:sz="4" w:space="0"/>
              <w:bottom w:val="single" w:color="000000" w:sz="4" w:space="0"/>
              <w:right w:val="single" w:color="000000" w:sz="4" w:space="0"/>
            </w:tcBorders>
            <w:vAlign w:val="center"/>
          </w:tcPr>
          <w:p w14:paraId="540CDB39">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70" w:type="dxa"/>
            <w:tcBorders>
              <w:top w:val="single" w:color="000000" w:sz="4" w:space="0"/>
              <w:left w:val="single" w:color="000000" w:sz="4" w:space="0"/>
              <w:bottom w:val="single" w:color="000000" w:sz="4" w:space="0"/>
              <w:right w:val="single" w:color="000000" w:sz="4" w:space="0"/>
            </w:tcBorders>
            <w:vAlign w:val="center"/>
          </w:tcPr>
          <w:p w14:paraId="148D8B83">
            <w:pPr>
              <w:jc w:val="center"/>
              <w:rPr>
                <w:rFonts w:hint="eastAsia" w:ascii="微软雅黑" w:hAnsi="微软雅黑" w:eastAsia="微软雅黑" w:cs="微软雅黑"/>
                <w:i/>
                <w:iCs/>
                <w:color w:val="000000"/>
                <w:sz w:val="16"/>
                <w:szCs w:val="16"/>
                <w:u w:val="none"/>
              </w:rPr>
            </w:pPr>
          </w:p>
        </w:tc>
        <w:tc>
          <w:tcPr>
            <w:tcW w:w="805" w:type="dxa"/>
            <w:tcBorders>
              <w:top w:val="single" w:color="000000" w:sz="4" w:space="0"/>
              <w:left w:val="single" w:color="000000" w:sz="4" w:space="0"/>
              <w:bottom w:val="single" w:color="000000" w:sz="4" w:space="0"/>
              <w:right w:val="single" w:color="000000" w:sz="4" w:space="0"/>
            </w:tcBorders>
            <w:vAlign w:val="center"/>
          </w:tcPr>
          <w:p w14:paraId="2BF25EEE">
            <w:pPr>
              <w:widowControl/>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rPr>
              <w:t>22.5</w:t>
            </w:r>
          </w:p>
        </w:tc>
        <w:tc>
          <w:tcPr>
            <w:tcW w:w="731" w:type="dxa"/>
            <w:tcBorders>
              <w:top w:val="single" w:color="000000" w:sz="4" w:space="0"/>
              <w:left w:val="single" w:color="000000" w:sz="4" w:space="0"/>
              <w:bottom w:val="single" w:color="000000" w:sz="4" w:space="0"/>
              <w:right w:val="single" w:color="000000" w:sz="4" w:space="0"/>
            </w:tcBorders>
            <w:vAlign w:val="center"/>
          </w:tcPr>
          <w:p w14:paraId="0D326E83">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21.5</w:t>
            </w:r>
          </w:p>
        </w:tc>
        <w:tc>
          <w:tcPr>
            <w:tcW w:w="918" w:type="dxa"/>
            <w:tcBorders>
              <w:top w:val="single" w:color="000000" w:sz="4" w:space="0"/>
              <w:left w:val="single" w:color="000000" w:sz="4" w:space="0"/>
              <w:bottom w:val="single" w:color="000000" w:sz="4" w:space="0"/>
              <w:right w:val="single" w:color="000000" w:sz="4" w:space="0"/>
            </w:tcBorders>
            <w:vAlign w:val="center"/>
          </w:tcPr>
          <w:p w14:paraId="1EC9F4F9">
            <w:pPr>
              <w:jc w:val="center"/>
              <w:rPr>
                <w:rFonts w:hint="eastAsia" w:ascii="微软雅黑" w:hAnsi="微软雅黑" w:eastAsia="微软雅黑" w:cs="微软雅黑"/>
                <w:i/>
                <w:iCs/>
                <w:color w:val="000000"/>
                <w:sz w:val="16"/>
                <w:szCs w:val="16"/>
                <w:u w:val="none"/>
              </w:rPr>
            </w:pPr>
          </w:p>
        </w:tc>
      </w:tr>
      <w:tr w14:paraId="1CC5F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66" w:type="dxa"/>
            <w:gridSpan w:val="8"/>
            <w:tcBorders>
              <w:top w:val="single" w:color="000000" w:sz="4" w:space="0"/>
              <w:left w:val="single" w:color="000000" w:sz="4" w:space="0"/>
              <w:bottom w:val="single" w:color="000000" w:sz="4" w:space="0"/>
              <w:right w:val="single" w:color="000000" w:sz="4" w:space="0"/>
            </w:tcBorders>
            <w:vAlign w:val="center"/>
          </w:tcPr>
          <w:p w14:paraId="7B4D331A">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805" w:type="dxa"/>
            <w:tcBorders>
              <w:top w:val="single" w:color="000000" w:sz="4" w:space="0"/>
              <w:left w:val="single" w:color="000000" w:sz="4" w:space="0"/>
              <w:bottom w:val="single" w:color="000000" w:sz="4" w:space="0"/>
              <w:right w:val="single" w:color="000000" w:sz="4" w:space="0"/>
            </w:tcBorders>
            <w:vAlign w:val="center"/>
          </w:tcPr>
          <w:p w14:paraId="46F1484F">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31" w:type="dxa"/>
            <w:tcBorders>
              <w:top w:val="single" w:color="000000" w:sz="4" w:space="0"/>
              <w:left w:val="single" w:color="000000" w:sz="4" w:space="0"/>
              <w:bottom w:val="single" w:color="000000" w:sz="4" w:space="0"/>
              <w:right w:val="single" w:color="000000" w:sz="4" w:space="0"/>
            </w:tcBorders>
            <w:vAlign w:val="center"/>
          </w:tcPr>
          <w:p w14:paraId="60CE9309">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91</w:t>
            </w:r>
          </w:p>
        </w:tc>
        <w:tc>
          <w:tcPr>
            <w:tcW w:w="918" w:type="dxa"/>
            <w:tcBorders>
              <w:top w:val="single" w:color="000000" w:sz="4" w:space="0"/>
              <w:left w:val="single" w:color="000000" w:sz="4" w:space="0"/>
              <w:bottom w:val="single" w:color="000000" w:sz="4" w:space="0"/>
              <w:right w:val="single" w:color="000000" w:sz="4" w:space="0"/>
            </w:tcBorders>
            <w:vAlign w:val="center"/>
          </w:tcPr>
          <w:p w14:paraId="3C103152">
            <w:pPr>
              <w:rPr>
                <w:rFonts w:hint="eastAsia" w:ascii="宋体" w:hAnsi="宋体" w:eastAsia="宋体" w:cs="宋体"/>
                <w:i w:val="0"/>
                <w:iCs w:val="0"/>
                <w:color w:val="000000"/>
                <w:sz w:val="18"/>
                <w:szCs w:val="18"/>
                <w:u w:val="none"/>
              </w:rPr>
            </w:pPr>
          </w:p>
        </w:tc>
      </w:tr>
      <w:tr w14:paraId="6F21A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tcBorders>
              <w:top w:val="single" w:color="000000" w:sz="4" w:space="0"/>
              <w:left w:val="single" w:color="000000" w:sz="4" w:space="0"/>
              <w:bottom w:val="single" w:color="000000" w:sz="4" w:space="0"/>
              <w:right w:val="single" w:color="000000" w:sz="4" w:space="0"/>
            </w:tcBorders>
            <w:vAlign w:val="center"/>
          </w:tcPr>
          <w:p w14:paraId="05ADD1D3">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评价结论</w:t>
            </w:r>
          </w:p>
        </w:tc>
        <w:tc>
          <w:tcPr>
            <w:tcW w:w="8841" w:type="dxa"/>
            <w:gridSpan w:val="10"/>
            <w:tcBorders>
              <w:top w:val="single" w:color="000000" w:sz="4" w:space="0"/>
              <w:left w:val="single" w:color="000000" w:sz="4" w:space="0"/>
              <w:bottom w:val="single" w:color="000000" w:sz="4" w:space="0"/>
              <w:right w:val="single" w:color="000000" w:sz="4" w:space="0"/>
            </w:tcBorders>
            <w:vAlign w:val="center"/>
          </w:tcPr>
          <w:p w14:paraId="245A3031">
            <w:pPr>
              <w:widowControl/>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rPr>
              <w:t>弃婴生活费项目的社会效益是没有发生因弃婴遭人遗弃无人管理而发生重大事件</w:t>
            </w:r>
          </w:p>
        </w:tc>
      </w:tr>
      <w:tr w14:paraId="39C91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tcBorders>
              <w:top w:val="single" w:color="000000" w:sz="4" w:space="0"/>
              <w:left w:val="single" w:color="000000" w:sz="4" w:space="0"/>
              <w:bottom w:val="single" w:color="000000" w:sz="4" w:space="0"/>
              <w:right w:val="single" w:color="000000" w:sz="4" w:space="0"/>
            </w:tcBorders>
            <w:vAlign w:val="center"/>
          </w:tcPr>
          <w:p w14:paraId="775EB478">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8841" w:type="dxa"/>
            <w:gridSpan w:val="10"/>
            <w:tcBorders>
              <w:top w:val="single" w:color="000000" w:sz="4" w:space="0"/>
              <w:left w:val="single" w:color="000000" w:sz="4" w:space="0"/>
              <w:bottom w:val="single" w:color="000000" w:sz="4" w:space="0"/>
              <w:right w:val="single" w:color="000000" w:sz="4" w:space="0"/>
            </w:tcBorders>
            <w:vAlign w:val="center"/>
          </w:tcPr>
          <w:p w14:paraId="4D0ED571">
            <w:pPr>
              <w:widowControl/>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弃婴身份无法查实，造成不好的社会影响</w:t>
            </w:r>
          </w:p>
        </w:tc>
      </w:tr>
      <w:tr w14:paraId="1B204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tcBorders>
              <w:top w:val="single" w:color="000000" w:sz="4" w:space="0"/>
              <w:left w:val="single" w:color="000000" w:sz="4" w:space="0"/>
              <w:bottom w:val="single" w:color="000000" w:sz="4" w:space="0"/>
              <w:right w:val="single" w:color="000000" w:sz="4" w:space="0"/>
            </w:tcBorders>
            <w:vAlign w:val="center"/>
          </w:tcPr>
          <w:p w14:paraId="14001E3E">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8841" w:type="dxa"/>
            <w:gridSpan w:val="10"/>
            <w:tcBorders>
              <w:top w:val="single" w:color="000000" w:sz="4" w:space="0"/>
              <w:left w:val="single" w:color="000000" w:sz="4" w:space="0"/>
              <w:bottom w:val="single" w:color="000000" w:sz="4" w:space="0"/>
              <w:right w:val="single" w:color="000000" w:sz="4" w:space="0"/>
            </w:tcBorders>
            <w:vAlign w:val="center"/>
          </w:tcPr>
          <w:p w14:paraId="774C4920">
            <w:pPr>
              <w:widowControl/>
              <w:jc w:val="left"/>
              <w:textAlignment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kern w:val="0"/>
                <w:sz w:val="16"/>
                <w:szCs w:val="16"/>
                <w:u w:val="none"/>
                <w:lang w:val="en-US" w:eastAsia="zh-CN"/>
              </w:rPr>
              <w:t>建立身份查询机制；建立寻亲服务机制，联合公安机关进行DNA的采集比对。</w:t>
            </w:r>
          </w:p>
        </w:tc>
      </w:tr>
      <w:tr w14:paraId="4775E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74" w:type="dxa"/>
            <w:gridSpan w:val="5"/>
            <w:tcBorders>
              <w:top w:val="single" w:color="000000" w:sz="4" w:space="0"/>
              <w:left w:val="single" w:color="000000" w:sz="4" w:space="0"/>
              <w:bottom w:val="single" w:color="000000" w:sz="4" w:space="0"/>
              <w:right w:val="single" w:color="000000" w:sz="4" w:space="0"/>
            </w:tcBorders>
            <w:vAlign w:val="center"/>
          </w:tcPr>
          <w:p w14:paraId="2F1E6ED4">
            <w:pPr>
              <w:widowControl/>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项目负责人：叶林鑫</w:t>
            </w:r>
          </w:p>
        </w:tc>
        <w:tc>
          <w:tcPr>
            <w:tcW w:w="5146" w:type="dxa"/>
            <w:gridSpan w:val="6"/>
            <w:tcBorders>
              <w:top w:val="single" w:color="000000" w:sz="4" w:space="0"/>
              <w:left w:val="single" w:color="000000" w:sz="4" w:space="0"/>
              <w:bottom w:val="single" w:color="000000" w:sz="4" w:space="0"/>
              <w:right w:val="single" w:color="000000" w:sz="4" w:space="0"/>
            </w:tcBorders>
            <w:vAlign w:val="center"/>
          </w:tcPr>
          <w:p w14:paraId="5D4FE056">
            <w:pPr>
              <w:widowControl/>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财务负责人：雷丽</w:t>
            </w:r>
          </w:p>
        </w:tc>
      </w:tr>
    </w:tbl>
    <w:p w14:paraId="7F2C1C3A">
      <w:pPr>
        <w:spacing w:line="600" w:lineRule="exact"/>
        <w:jc w:val="center"/>
        <w:outlineLvl w:val="0"/>
        <w:rPr>
          <w:rFonts w:hint="eastAsia" w:ascii="黑体" w:hAnsi="黑体" w:eastAsia="黑体"/>
          <w:color w:val="000000"/>
          <w:sz w:val="44"/>
          <w:szCs w:val="44"/>
        </w:rPr>
      </w:pPr>
    </w:p>
    <w:tbl>
      <w:tblPr>
        <w:tblStyle w:val="11"/>
        <w:tblW w:w="9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9"/>
        <w:gridCol w:w="953"/>
        <w:gridCol w:w="925"/>
        <w:gridCol w:w="925"/>
        <w:gridCol w:w="892"/>
        <w:gridCol w:w="909"/>
        <w:gridCol w:w="813"/>
        <w:gridCol w:w="970"/>
        <w:gridCol w:w="805"/>
        <w:gridCol w:w="731"/>
        <w:gridCol w:w="918"/>
      </w:tblGrid>
      <w:tr w14:paraId="65313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20" w:type="dxa"/>
            <w:gridSpan w:val="11"/>
            <w:tcBorders>
              <w:top w:val="single" w:color="000000" w:sz="4" w:space="0"/>
              <w:left w:val="single" w:color="000000" w:sz="4" w:space="0"/>
              <w:bottom w:val="single" w:color="000000" w:sz="4" w:space="0"/>
              <w:right w:val="single" w:color="000000" w:sz="4" w:space="0"/>
            </w:tcBorders>
            <w:vAlign w:val="center"/>
          </w:tcPr>
          <w:p w14:paraId="1C1983E0">
            <w:pPr>
              <w:widowControl/>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部门预算项目支出绩效自评表（2022年度）</w:t>
            </w:r>
          </w:p>
        </w:tc>
      </w:tr>
      <w:tr w14:paraId="3A2F1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32" w:type="dxa"/>
            <w:gridSpan w:val="2"/>
            <w:tcBorders>
              <w:top w:val="single" w:color="000000" w:sz="4" w:space="0"/>
              <w:left w:val="single" w:color="000000" w:sz="4" w:space="0"/>
              <w:bottom w:val="single" w:color="000000" w:sz="4" w:space="0"/>
              <w:right w:val="single" w:color="000000" w:sz="4" w:space="0"/>
            </w:tcBorders>
            <w:vAlign w:val="center"/>
          </w:tcPr>
          <w:p w14:paraId="762E4A43">
            <w:pPr>
              <w:widowControl/>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888" w:type="dxa"/>
            <w:gridSpan w:val="9"/>
            <w:tcBorders>
              <w:top w:val="single" w:color="000000" w:sz="4" w:space="0"/>
              <w:left w:val="single" w:color="000000" w:sz="4" w:space="0"/>
              <w:bottom w:val="single" w:color="000000" w:sz="4" w:space="0"/>
              <w:right w:val="single" w:color="000000" w:sz="4" w:space="0"/>
            </w:tcBorders>
            <w:vAlign w:val="center"/>
          </w:tcPr>
          <w:p w14:paraId="44D45016">
            <w:pPr>
              <w:widowControl/>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弃婴护理费</w:t>
            </w:r>
          </w:p>
        </w:tc>
      </w:tr>
      <w:tr w14:paraId="2092D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32" w:type="dxa"/>
            <w:gridSpan w:val="2"/>
            <w:tcBorders>
              <w:top w:val="single" w:color="000000" w:sz="4" w:space="0"/>
              <w:left w:val="single" w:color="000000" w:sz="4" w:space="0"/>
              <w:bottom w:val="single" w:color="000000" w:sz="4" w:space="0"/>
              <w:right w:val="single" w:color="000000" w:sz="4" w:space="0"/>
            </w:tcBorders>
            <w:vAlign w:val="center"/>
          </w:tcPr>
          <w:p w14:paraId="01C0F090">
            <w:pPr>
              <w:widowControl/>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464" w:type="dxa"/>
            <w:gridSpan w:val="5"/>
            <w:tcBorders>
              <w:top w:val="single" w:color="000000" w:sz="4" w:space="0"/>
              <w:left w:val="single" w:color="000000" w:sz="4" w:space="0"/>
              <w:bottom w:val="single" w:color="000000" w:sz="4" w:space="0"/>
              <w:right w:val="single" w:color="000000" w:sz="4" w:space="0"/>
            </w:tcBorders>
            <w:vAlign w:val="center"/>
          </w:tcPr>
          <w:p w14:paraId="5C28DC5B">
            <w:pPr>
              <w:widowControl/>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岳池县民政局</w:t>
            </w:r>
          </w:p>
        </w:tc>
        <w:tc>
          <w:tcPr>
            <w:tcW w:w="970" w:type="dxa"/>
            <w:tcBorders>
              <w:top w:val="nil"/>
              <w:left w:val="nil"/>
              <w:bottom w:val="nil"/>
              <w:right w:val="nil"/>
            </w:tcBorders>
            <w:vAlign w:val="center"/>
          </w:tcPr>
          <w:p w14:paraId="68B82B2C">
            <w:pPr>
              <w:widowControl/>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454" w:type="dxa"/>
            <w:gridSpan w:val="3"/>
            <w:tcBorders>
              <w:top w:val="single" w:color="000000" w:sz="4" w:space="0"/>
              <w:left w:val="single" w:color="000000" w:sz="4" w:space="0"/>
              <w:bottom w:val="single" w:color="000000" w:sz="4" w:space="0"/>
              <w:right w:val="single" w:color="000000" w:sz="4" w:space="0"/>
            </w:tcBorders>
            <w:vAlign w:val="center"/>
          </w:tcPr>
          <w:p w14:paraId="1D212A60">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岳池县社会救助福利中心</w:t>
            </w:r>
          </w:p>
        </w:tc>
      </w:tr>
      <w:tr w14:paraId="245B8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restart"/>
            <w:tcBorders>
              <w:top w:val="single" w:color="000000" w:sz="4" w:space="0"/>
              <w:left w:val="single" w:color="000000" w:sz="4" w:space="0"/>
              <w:bottom w:val="single" w:color="000000" w:sz="4" w:space="0"/>
              <w:right w:val="single" w:color="000000" w:sz="4" w:space="0"/>
            </w:tcBorders>
            <w:vAlign w:val="center"/>
          </w:tcPr>
          <w:p w14:paraId="5B4E42B0">
            <w:pPr>
              <w:widowControl/>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953" w:type="dxa"/>
            <w:vMerge w:val="restart"/>
            <w:tcBorders>
              <w:top w:val="single" w:color="000000" w:sz="4" w:space="0"/>
              <w:left w:val="single" w:color="000000" w:sz="4" w:space="0"/>
              <w:bottom w:val="single" w:color="000000" w:sz="4" w:space="0"/>
              <w:right w:val="single" w:color="000000" w:sz="4" w:space="0"/>
            </w:tcBorders>
            <w:vAlign w:val="center"/>
          </w:tcPr>
          <w:p w14:paraId="6C21E352">
            <w:pPr>
              <w:widowControl/>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4464" w:type="dxa"/>
            <w:gridSpan w:val="5"/>
            <w:tcBorders>
              <w:top w:val="single" w:color="000000" w:sz="4" w:space="0"/>
              <w:left w:val="single" w:color="000000" w:sz="4" w:space="0"/>
              <w:bottom w:val="single" w:color="000000" w:sz="4" w:space="0"/>
              <w:right w:val="single" w:color="000000" w:sz="4" w:space="0"/>
            </w:tcBorders>
            <w:vAlign w:val="center"/>
          </w:tcPr>
          <w:p w14:paraId="004B2472">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424" w:type="dxa"/>
            <w:gridSpan w:val="4"/>
            <w:tcBorders>
              <w:top w:val="single" w:color="000000" w:sz="4" w:space="0"/>
              <w:left w:val="single" w:color="000000" w:sz="4" w:space="0"/>
              <w:bottom w:val="single" w:color="000000" w:sz="4" w:space="0"/>
              <w:right w:val="single" w:color="000000" w:sz="4" w:space="0"/>
            </w:tcBorders>
            <w:vAlign w:val="center"/>
          </w:tcPr>
          <w:p w14:paraId="2FBC2718">
            <w:pPr>
              <w:widowControl/>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44ED5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6262D7EE">
            <w:pPr>
              <w:rPr>
                <w:rFonts w:hint="eastAsia" w:ascii="宋体" w:hAnsi="宋体" w:eastAsia="宋体" w:cs="宋体"/>
                <w:i w:val="0"/>
                <w:iCs w:val="0"/>
                <w:color w:val="000000"/>
                <w:sz w:val="18"/>
                <w:szCs w:val="18"/>
                <w:u w:val="none"/>
              </w:rPr>
            </w:pPr>
          </w:p>
        </w:tc>
        <w:tc>
          <w:tcPr>
            <w:tcW w:w="953" w:type="dxa"/>
            <w:vMerge w:val="continue"/>
            <w:tcBorders>
              <w:top w:val="single" w:color="000000" w:sz="4" w:space="0"/>
              <w:left w:val="single" w:color="000000" w:sz="4" w:space="0"/>
              <w:bottom w:val="single" w:color="000000" w:sz="4" w:space="0"/>
              <w:right w:val="single" w:color="000000" w:sz="4" w:space="0"/>
            </w:tcBorders>
            <w:vAlign w:val="center"/>
          </w:tcPr>
          <w:p w14:paraId="280A651D">
            <w:pPr>
              <w:rPr>
                <w:rFonts w:hint="eastAsia" w:ascii="宋体" w:hAnsi="宋体" w:eastAsia="宋体" w:cs="宋体"/>
                <w:i w:val="0"/>
                <w:iCs w:val="0"/>
                <w:color w:val="000000"/>
                <w:sz w:val="18"/>
                <w:szCs w:val="18"/>
                <w:u w:val="none"/>
              </w:rPr>
            </w:pPr>
          </w:p>
        </w:tc>
        <w:tc>
          <w:tcPr>
            <w:tcW w:w="4464" w:type="dxa"/>
            <w:gridSpan w:val="5"/>
            <w:tcBorders>
              <w:top w:val="single" w:color="000000" w:sz="4" w:space="0"/>
              <w:left w:val="single" w:color="000000" w:sz="4" w:space="0"/>
              <w:bottom w:val="single" w:color="000000" w:sz="4" w:space="0"/>
              <w:right w:val="single" w:color="000000" w:sz="4" w:space="0"/>
            </w:tcBorders>
            <w:vAlign w:val="center"/>
          </w:tcPr>
          <w:p w14:paraId="16E1C4D0">
            <w:pPr>
              <w:widowControl/>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弃婴护理费资金项目的主要目标是完成对送到救助站的弃婴进行专人护理</w:t>
            </w:r>
          </w:p>
        </w:tc>
        <w:tc>
          <w:tcPr>
            <w:tcW w:w="3424" w:type="dxa"/>
            <w:gridSpan w:val="4"/>
            <w:tcBorders>
              <w:top w:val="single" w:color="000000" w:sz="4" w:space="0"/>
              <w:left w:val="single" w:color="000000" w:sz="4" w:space="0"/>
              <w:bottom w:val="single" w:color="000000" w:sz="4" w:space="0"/>
              <w:right w:val="single" w:color="000000" w:sz="4" w:space="0"/>
            </w:tcBorders>
            <w:vAlign w:val="center"/>
          </w:tcPr>
          <w:p w14:paraId="437A0D38">
            <w:pPr>
              <w:widowControl/>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rPr>
              <w:t>2022年度我站接收了1名弃婴，并请专人进行护理</w:t>
            </w:r>
          </w:p>
        </w:tc>
      </w:tr>
      <w:tr w14:paraId="2F409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51ECC036">
            <w:pP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60272598">
            <w:pPr>
              <w:widowControl/>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888" w:type="dxa"/>
            <w:gridSpan w:val="9"/>
            <w:tcBorders>
              <w:top w:val="single" w:color="000000" w:sz="4" w:space="0"/>
              <w:left w:val="single" w:color="000000" w:sz="4" w:space="0"/>
              <w:bottom w:val="single" w:color="000000" w:sz="4" w:space="0"/>
              <w:right w:val="single" w:color="000000" w:sz="4" w:space="0"/>
            </w:tcBorders>
            <w:vAlign w:val="center"/>
          </w:tcPr>
          <w:p w14:paraId="23322C8E">
            <w:pPr>
              <w:widowControl/>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按照省民政厅、财政厅制定的要求，结合实际，细化措施，制定了</w:t>
            </w:r>
            <w:r>
              <w:rPr>
                <w:rFonts w:hint="eastAsia" w:ascii="宋体" w:hAnsi="宋体" w:cs="宋体"/>
                <w:i w:val="0"/>
                <w:iCs w:val="0"/>
                <w:color w:val="000000"/>
                <w:kern w:val="0"/>
                <w:sz w:val="18"/>
                <w:szCs w:val="18"/>
                <w:u w:val="none"/>
                <w:lang w:val="en-US" w:eastAsia="zh-CN"/>
              </w:rPr>
              <w:t>弃婴护理费标准，参照当地工资标准执行，确保弃婴得到充分的照顾。</w:t>
            </w:r>
          </w:p>
        </w:tc>
      </w:tr>
      <w:tr w14:paraId="2BB34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restart"/>
            <w:tcBorders>
              <w:top w:val="single" w:color="000000" w:sz="4" w:space="0"/>
              <w:left w:val="single" w:color="000000" w:sz="4" w:space="0"/>
              <w:bottom w:val="single" w:color="000000" w:sz="4" w:space="0"/>
              <w:right w:val="single" w:color="000000" w:sz="4" w:space="0"/>
            </w:tcBorders>
            <w:vAlign w:val="center"/>
          </w:tcPr>
          <w:p w14:paraId="7250A98A">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953" w:type="dxa"/>
            <w:tcBorders>
              <w:top w:val="single" w:color="000000" w:sz="4" w:space="0"/>
              <w:left w:val="single" w:color="000000" w:sz="4" w:space="0"/>
              <w:bottom w:val="single" w:color="000000" w:sz="4" w:space="0"/>
              <w:right w:val="single" w:color="000000" w:sz="4" w:space="0"/>
            </w:tcBorders>
            <w:vAlign w:val="center"/>
          </w:tcPr>
          <w:p w14:paraId="4CFAFD34">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925" w:type="dxa"/>
            <w:tcBorders>
              <w:top w:val="single" w:color="000000" w:sz="4" w:space="0"/>
              <w:left w:val="single" w:color="000000" w:sz="4" w:space="0"/>
              <w:bottom w:val="single" w:color="000000" w:sz="4" w:space="0"/>
              <w:right w:val="single" w:color="000000" w:sz="4" w:space="0"/>
            </w:tcBorders>
            <w:vAlign w:val="center"/>
          </w:tcPr>
          <w:p w14:paraId="1B172864">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925" w:type="dxa"/>
            <w:tcBorders>
              <w:top w:val="single" w:color="000000" w:sz="4" w:space="0"/>
              <w:left w:val="single" w:color="000000" w:sz="4" w:space="0"/>
              <w:bottom w:val="single" w:color="000000" w:sz="4" w:space="0"/>
              <w:right w:val="single" w:color="000000" w:sz="4" w:space="0"/>
            </w:tcBorders>
            <w:vAlign w:val="center"/>
          </w:tcPr>
          <w:p w14:paraId="779AD312">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614" w:type="dxa"/>
            <w:gridSpan w:val="3"/>
            <w:tcBorders>
              <w:top w:val="single" w:color="000000" w:sz="4" w:space="0"/>
              <w:left w:val="single" w:color="000000" w:sz="4" w:space="0"/>
              <w:bottom w:val="single" w:color="000000" w:sz="4" w:space="0"/>
              <w:right w:val="single" w:color="000000" w:sz="4" w:space="0"/>
            </w:tcBorders>
            <w:vAlign w:val="center"/>
          </w:tcPr>
          <w:p w14:paraId="57D5A0D2">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970" w:type="dxa"/>
            <w:tcBorders>
              <w:top w:val="single" w:color="000000" w:sz="4" w:space="0"/>
              <w:left w:val="single" w:color="000000" w:sz="4" w:space="0"/>
              <w:bottom w:val="single" w:color="000000" w:sz="4" w:space="0"/>
              <w:right w:val="single" w:color="000000" w:sz="4" w:space="0"/>
            </w:tcBorders>
            <w:vAlign w:val="center"/>
          </w:tcPr>
          <w:p w14:paraId="210C3CB2">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805" w:type="dxa"/>
            <w:tcBorders>
              <w:top w:val="single" w:color="000000" w:sz="4" w:space="0"/>
              <w:left w:val="single" w:color="000000" w:sz="4" w:space="0"/>
              <w:bottom w:val="single" w:color="000000" w:sz="4" w:space="0"/>
              <w:right w:val="single" w:color="000000" w:sz="4" w:space="0"/>
            </w:tcBorders>
            <w:vAlign w:val="center"/>
          </w:tcPr>
          <w:p w14:paraId="42B9C3BA">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731" w:type="dxa"/>
            <w:tcBorders>
              <w:top w:val="single" w:color="000000" w:sz="4" w:space="0"/>
              <w:left w:val="single" w:color="000000" w:sz="4" w:space="0"/>
              <w:bottom w:val="single" w:color="000000" w:sz="4" w:space="0"/>
              <w:right w:val="single" w:color="000000" w:sz="4" w:space="0"/>
            </w:tcBorders>
            <w:vAlign w:val="center"/>
          </w:tcPr>
          <w:p w14:paraId="4CC79725">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918" w:type="dxa"/>
            <w:tcBorders>
              <w:top w:val="single" w:color="000000" w:sz="4" w:space="0"/>
              <w:left w:val="single" w:color="000000" w:sz="4" w:space="0"/>
              <w:bottom w:val="single" w:color="000000" w:sz="4" w:space="0"/>
              <w:right w:val="single" w:color="000000" w:sz="4" w:space="0"/>
            </w:tcBorders>
            <w:vAlign w:val="center"/>
          </w:tcPr>
          <w:p w14:paraId="625E7EF1">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382F8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1B32F0B5">
            <w:pPr>
              <w:jc w:val="cente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26756A39">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925" w:type="dxa"/>
            <w:tcBorders>
              <w:top w:val="single" w:color="000000" w:sz="4" w:space="0"/>
              <w:left w:val="single" w:color="000000" w:sz="4" w:space="0"/>
              <w:bottom w:val="single" w:color="000000" w:sz="4" w:space="0"/>
              <w:right w:val="single" w:color="000000" w:sz="4" w:space="0"/>
            </w:tcBorders>
            <w:vAlign w:val="center"/>
          </w:tcPr>
          <w:p w14:paraId="017AE465">
            <w:pPr>
              <w:widowControl/>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rPr>
              <w:t>1.31</w:t>
            </w:r>
          </w:p>
        </w:tc>
        <w:tc>
          <w:tcPr>
            <w:tcW w:w="925" w:type="dxa"/>
            <w:tcBorders>
              <w:top w:val="single" w:color="000000" w:sz="4" w:space="0"/>
              <w:left w:val="single" w:color="000000" w:sz="4" w:space="0"/>
              <w:bottom w:val="single" w:color="000000" w:sz="4" w:space="0"/>
              <w:right w:val="single" w:color="000000" w:sz="4" w:space="0"/>
            </w:tcBorders>
            <w:vAlign w:val="center"/>
          </w:tcPr>
          <w:p w14:paraId="7116FBE8">
            <w:pPr>
              <w:widowControl/>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rPr>
              <w:t>1.31</w:t>
            </w:r>
          </w:p>
        </w:tc>
        <w:tc>
          <w:tcPr>
            <w:tcW w:w="2614" w:type="dxa"/>
            <w:gridSpan w:val="3"/>
            <w:tcBorders>
              <w:top w:val="single" w:color="000000" w:sz="4" w:space="0"/>
              <w:left w:val="single" w:color="000000" w:sz="4" w:space="0"/>
              <w:bottom w:val="single" w:color="000000" w:sz="4" w:space="0"/>
              <w:right w:val="single" w:color="000000" w:sz="4" w:space="0"/>
            </w:tcBorders>
            <w:vAlign w:val="center"/>
          </w:tcPr>
          <w:p w14:paraId="0C015320">
            <w:pPr>
              <w:widowControl/>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rPr>
              <w:t>1.31</w:t>
            </w:r>
          </w:p>
        </w:tc>
        <w:tc>
          <w:tcPr>
            <w:tcW w:w="970" w:type="dxa"/>
            <w:tcBorders>
              <w:top w:val="single" w:color="000000" w:sz="4" w:space="0"/>
              <w:left w:val="single" w:color="000000" w:sz="4" w:space="0"/>
              <w:bottom w:val="single" w:color="000000" w:sz="4" w:space="0"/>
              <w:right w:val="single" w:color="000000" w:sz="4" w:space="0"/>
            </w:tcBorders>
            <w:vAlign w:val="center"/>
          </w:tcPr>
          <w:p w14:paraId="04869B25">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805" w:type="dxa"/>
            <w:tcBorders>
              <w:top w:val="single" w:color="000000" w:sz="4" w:space="0"/>
              <w:left w:val="single" w:color="000000" w:sz="4" w:space="0"/>
              <w:bottom w:val="single" w:color="000000" w:sz="4" w:space="0"/>
              <w:right w:val="single" w:color="000000" w:sz="4" w:space="0"/>
            </w:tcBorders>
            <w:vAlign w:val="center"/>
          </w:tcPr>
          <w:p w14:paraId="41352082">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31" w:type="dxa"/>
            <w:tcBorders>
              <w:top w:val="single" w:color="000000" w:sz="4" w:space="0"/>
              <w:left w:val="single" w:color="000000" w:sz="4" w:space="0"/>
              <w:bottom w:val="single" w:color="000000" w:sz="4" w:space="0"/>
              <w:right w:val="single" w:color="000000" w:sz="4" w:space="0"/>
            </w:tcBorders>
            <w:vAlign w:val="center"/>
          </w:tcPr>
          <w:p w14:paraId="45DD45D7">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18" w:type="dxa"/>
            <w:vMerge w:val="restart"/>
            <w:tcBorders>
              <w:top w:val="single" w:color="000000" w:sz="4" w:space="0"/>
              <w:left w:val="single" w:color="000000" w:sz="4" w:space="0"/>
              <w:bottom w:val="single" w:color="000000" w:sz="4" w:space="0"/>
              <w:right w:val="single" w:color="000000" w:sz="4" w:space="0"/>
            </w:tcBorders>
            <w:vAlign w:val="center"/>
          </w:tcPr>
          <w:p w14:paraId="104C6D8C">
            <w:pPr>
              <w:rPr>
                <w:rFonts w:hint="eastAsia" w:ascii="黑体" w:hAnsi="黑体" w:eastAsia="黑体" w:cs="黑体"/>
                <w:i/>
                <w:iCs/>
                <w:color w:val="000000"/>
                <w:sz w:val="18"/>
                <w:szCs w:val="18"/>
                <w:u w:val="none"/>
              </w:rPr>
            </w:pPr>
          </w:p>
        </w:tc>
      </w:tr>
      <w:tr w14:paraId="45775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6FED6AB3">
            <w:pPr>
              <w:jc w:val="cente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06364C91">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925" w:type="dxa"/>
            <w:tcBorders>
              <w:top w:val="single" w:color="000000" w:sz="4" w:space="0"/>
              <w:left w:val="single" w:color="000000" w:sz="4" w:space="0"/>
              <w:bottom w:val="single" w:color="000000" w:sz="4" w:space="0"/>
              <w:right w:val="single" w:color="000000" w:sz="4" w:space="0"/>
            </w:tcBorders>
            <w:vAlign w:val="center"/>
          </w:tcPr>
          <w:p w14:paraId="7B8C8B12">
            <w:pPr>
              <w:widowControl/>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rPr>
              <w:t>1.31</w:t>
            </w:r>
          </w:p>
        </w:tc>
        <w:tc>
          <w:tcPr>
            <w:tcW w:w="925" w:type="dxa"/>
            <w:tcBorders>
              <w:top w:val="single" w:color="000000" w:sz="4" w:space="0"/>
              <w:left w:val="single" w:color="000000" w:sz="4" w:space="0"/>
              <w:bottom w:val="single" w:color="000000" w:sz="4" w:space="0"/>
              <w:right w:val="single" w:color="000000" w:sz="4" w:space="0"/>
            </w:tcBorders>
            <w:vAlign w:val="center"/>
          </w:tcPr>
          <w:p w14:paraId="67C3385C">
            <w:pPr>
              <w:widowControl/>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rPr>
              <w:t>1.31</w:t>
            </w:r>
          </w:p>
        </w:tc>
        <w:tc>
          <w:tcPr>
            <w:tcW w:w="2614" w:type="dxa"/>
            <w:gridSpan w:val="3"/>
            <w:tcBorders>
              <w:top w:val="single" w:color="000000" w:sz="4" w:space="0"/>
              <w:left w:val="single" w:color="000000" w:sz="4" w:space="0"/>
              <w:bottom w:val="single" w:color="000000" w:sz="4" w:space="0"/>
              <w:right w:val="single" w:color="000000" w:sz="4" w:space="0"/>
            </w:tcBorders>
            <w:vAlign w:val="center"/>
          </w:tcPr>
          <w:p w14:paraId="453C9355">
            <w:pPr>
              <w:widowControl/>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rPr>
              <w:t>1.31</w:t>
            </w:r>
          </w:p>
        </w:tc>
        <w:tc>
          <w:tcPr>
            <w:tcW w:w="970" w:type="dxa"/>
            <w:tcBorders>
              <w:top w:val="single" w:color="000000" w:sz="4" w:space="0"/>
              <w:left w:val="single" w:color="000000" w:sz="4" w:space="0"/>
              <w:bottom w:val="single" w:color="000000" w:sz="4" w:space="0"/>
              <w:right w:val="single" w:color="000000" w:sz="4" w:space="0"/>
            </w:tcBorders>
            <w:vAlign w:val="center"/>
          </w:tcPr>
          <w:p w14:paraId="1FA4C39C">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805" w:type="dxa"/>
            <w:tcBorders>
              <w:top w:val="single" w:color="000000" w:sz="4" w:space="0"/>
              <w:left w:val="single" w:color="000000" w:sz="4" w:space="0"/>
              <w:bottom w:val="single" w:color="000000" w:sz="4" w:space="0"/>
              <w:right w:val="single" w:color="000000" w:sz="4" w:space="0"/>
            </w:tcBorders>
            <w:vAlign w:val="center"/>
          </w:tcPr>
          <w:p w14:paraId="3224EEF6">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31" w:type="dxa"/>
            <w:tcBorders>
              <w:top w:val="single" w:color="000000" w:sz="4" w:space="0"/>
              <w:left w:val="single" w:color="000000" w:sz="4" w:space="0"/>
              <w:bottom w:val="single" w:color="000000" w:sz="4" w:space="0"/>
              <w:right w:val="single" w:color="000000" w:sz="4" w:space="0"/>
            </w:tcBorders>
            <w:vAlign w:val="center"/>
          </w:tcPr>
          <w:p w14:paraId="6FFD0DB1">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18" w:type="dxa"/>
            <w:vMerge w:val="continue"/>
            <w:tcBorders>
              <w:top w:val="single" w:color="000000" w:sz="4" w:space="0"/>
              <w:left w:val="single" w:color="000000" w:sz="4" w:space="0"/>
              <w:bottom w:val="single" w:color="000000" w:sz="4" w:space="0"/>
              <w:right w:val="single" w:color="000000" w:sz="4" w:space="0"/>
            </w:tcBorders>
            <w:vAlign w:val="center"/>
          </w:tcPr>
          <w:p w14:paraId="1884706D">
            <w:pPr>
              <w:rPr>
                <w:rFonts w:hint="eastAsia" w:ascii="黑体" w:hAnsi="黑体" w:eastAsia="黑体" w:cs="黑体"/>
                <w:i/>
                <w:iCs/>
                <w:color w:val="000000"/>
                <w:sz w:val="18"/>
                <w:szCs w:val="18"/>
                <w:u w:val="none"/>
              </w:rPr>
            </w:pPr>
          </w:p>
        </w:tc>
      </w:tr>
      <w:tr w14:paraId="18564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089F19E9">
            <w:pPr>
              <w:jc w:val="cente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2191EE9E">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925" w:type="dxa"/>
            <w:tcBorders>
              <w:top w:val="single" w:color="000000" w:sz="4" w:space="0"/>
              <w:left w:val="single" w:color="000000" w:sz="4" w:space="0"/>
              <w:bottom w:val="single" w:color="000000" w:sz="4" w:space="0"/>
              <w:right w:val="single" w:color="000000" w:sz="4" w:space="0"/>
            </w:tcBorders>
            <w:vAlign w:val="center"/>
          </w:tcPr>
          <w:p w14:paraId="6903947A">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25" w:type="dxa"/>
            <w:tcBorders>
              <w:top w:val="single" w:color="000000" w:sz="4" w:space="0"/>
              <w:left w:val="single" w:color="000000" w:sz="4" w:space="0"/>
              <w:bottom w:val="single" w:color="000000" w:sz="4" w:space="0"/>
              <w:right w:val="single" w:color="000000" w:sz="4" w:space="0"/>
            </w:tcBorders>
            <w:vAlign w:val="center"/>
          </w:tcPr>
          <w:p w14:paraId="7E6B5352">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614" w:type="dxa"/>
            <w:gridSpan w:val="3"/>
            <w:tcBorders>
              <w:top w:val="single" w:color="000000" w:sz="4" w:space="0"/>
              <w:left w:val="single" w:color="000000" w:sz="4" w:space="0"/>
              <w:bottom w:val="single" w:color="000000" w:sz="4" w:space="0"/>
              <w:right w:val="single" w:color="000000" w:sz="4" w:space="0"/>
            </w:tcBorders>
            <w:vAlign w:val="center"/>
          </w:tcPr>
          <w:p w14:paraId="02ED1D82">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70" w:type="dxa"/>
            <w:tcBorders>
              <w:top w:val="single" w:color="000000" w:sz="4" w:space="0"/>
              <w:left w:val="single" w:color="000000" w:sz="4" w:space="0"/>
              <w:bottom w:val="single" w:color="000000" w:sz="4" w:space="0"/>
              <w:right w:val="single" w:color="000000" w:sz="4" w:space="0"/>
            </w:tcBorders>
            <w:vAlign w:val="center"/>
          </w:tcPr>
          <w:p w14:paraId="426C3C76">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05" w:type="dxa"/>
            <w:tcBorders>
              <w:top w:val="single" w:color="000000" w:sz="4" w:space="0"/>
              <w:left w:val="single" w:color="000000" w:sz="4" w:space="0"/>
              <w:bottom w:val="single" w:color="000000" w:sz="4" w:space="0"/>
              <w:right w:val="single" w:color="000000" w:sz="4" w:space="0"/>
            </w:tcBorders>
            <w:vAlign w:val="center"/>
          </w:tcPr>
          <w:p w14:paraId="1EC21F0A">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31" w:type="dxa"/>
            <w:tcBorders>
              <w:top w:val="single" w:color="000000" w:sz="4" w:space="0"/>
              <w:left w:val="single" w:color="000000" w:sz="4" w:space="0"/>
              <w:bottom w:val="single" w:color="000000" w:sz="4" w:space="0"/>
              <w:right w:val="single" w:color="000000" w:sz="4" w:space="0"/>
            </w:tcBorders>
            <w:vAlign w:val="center"/>
          </w:tcPr>
          <w:p w14:paraId="344C3181">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18" w:type="dxa"/>
            <w:vMerge w:val="continue"/>
            <w:tcBorders>
              <w:top w:val="single" w:color="000000" w:sz="4" w:space="0"/>
              <w:left w:val="single" w:color="000000" w:sz="4" w:space="0"/>
              <w:bottom w:val="single" w:color="000000" w:sz="4" w:space="0"/>
              <w:right w:val="single" w:color="000000" w:sz="4" w:space="0"/>
            </w:tcBorders>
            <w:vAlign w:val="center"/>
          </w:tcPr>
          <w:p w14:paraId="49A58B2E">
            <w:pPr>
              <w:rPr>
                <w:rFonts w:hint="eastAsia" w:ascii="黑体" w:hAnsi="黑体" w:eastAsia="黑体" w:cs="黑体"/>
                <w:i/>
                <w:iCs/>
                <w:color w:val="000000"/>
                <w:sz w:val="18"/>
                <w:szCs w:val="18"/>
                <w:u w:val="none"/>
              </w:rPr>
            </w:pPr>
          </w:p>
        </w:tc>
      </w:tr>
      <w:tr w14:paraId="30765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02B26B0D">
            <w:pPr>
              <w:jc w:val="cente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46B33254">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925" w:type="dxa"/>
            <w:tcBorders>
              <w:top w:val="single" w:color="000000" w:sz="4" w:space="0"/>
              <w:left w:val="single" w:color="000000" w:sz="4" w:space="0"/>
              <w:bottom w:val="single" w:color="000000" w:sz="4" w:space="0"/>
              <w:right w:val="single" w:color="000000" w:sz="4" w:space="0"/>
            </w:tcBorders>
            <w:vAlign w:val="center"/>
          </w:tcPr>
          <w:p w14:paraId="1F39E8D7">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25" w:type="dxa"/>
            <w:tcBorders>
              <w:top w:val="single" w:color="000000" w:sz="4" w:space="0"/>
              <w:left w:val="single" w:color="000000" w:sz="4" w:space="0"/>
              <w:bottom w:val="single" w:color="000000" w:sz="4" w:space="0"/>
              <w:right w:val="single" w:color="000000" w:sz="4" w:space="0"/>
            </w:tcBorders>
            <w:vAlign w:val="center"/>
          </w:tcPr>
          <w:p w14:paraId="76BB418A">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614" w:type="dxa"/>
            <w:gridSpan w:val="3"/>
            <w:tcBorders>
              <w:top w:val="single" w:color="000000" w:sz="4" w:space="0"/>
              <w:left w:val="single" w:color="000000" w:sz="4" w:space="0"/>
              <w:bottom w:val="single" w:color="000000" w:sz="4" w:space="0"/>
              <w:right w:val="single" w:color="000000" w:sz="4" w:space="0"/>
            </w:tcBorders>
            <w:vAlign w:val="center"/>
          </w:tcPr>
          <w:p w14:paraId="554CB069">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70" w:type="dxa"/>
            <w:tcBorders>
              <w:top w:val="single" w:color="000000" w:sz="4" w:space="0"/>
              <w:left w:val="single" w:color="000000" w:sz="4" w:space="0"/>
              <w:bottom w:val="single" w:color="000000" w:sz="4" w:space="0"/>
              <w:right w:val="single" w:color="000000" w:sz="4" w:space="0"/>
            </w:tcBorders>
            <w:vAlign w:val="center"/>
          </w:tcPr>
          <w:p w14:paraId="1A40B8A0">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05" w:type="dxa"/>
            <w:tcBorders>
              <w:top w:val="single" w:color="000000" w:sz="4" w:space="0"/>
              <w:left w:val="single" w:color="000000" w:sz="4" w:space="0"/>
              <w:bottom w:val="single" w:color="000000" w:sz="4" w:space="0"/>
              <w:right w:val="single" w:color="000000" w:sz="4" w:space="0"/>
            </w:tcBorders>
            <w:vAlign w:val="center"/>
          </w:tcPr>
          <w:p w14:paraId="0A522AE4">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31" w:type="dxa"/>
            <w:tcBorders>
              <w:top w:val="single" w:color="000000" w:sz="4" w:space="0"/>
              <w:left w:val="single" w:color="000000" w:sz="4" w:space="0"/>
              <w:bottom w:val="single" w:color="000000" w:sz="4" w:space="0"/>
              <w:right w:val="single" w:color="000000" w:sz="4" w:space="0"/>
            </w:tcBorders>
            <w:vAlign w:val="center"/>
          </w:tcPr>
          <w:p w14:paraId="5D52C0A2">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18" w:type="dxa"/>
            <w:vMerge w:val="continue"/>
            <w:tcBorders>
              <w:top w:val="single" w:color="000000" w:sz="4" w:space="0"/>
              <w:left w:val="single" w:color="000000" w:sz="4" w:space="0"/>
              <w:bottom w:val="single" w:color="000000" w:sz="4" w:space="0"/>
              <w:right w:val="single" w:color="000000" w:sz="4" w:space="0"/>
            </w:tcBorders>
            <w:vAlign w:val="center"/>
          </w:tcPr>
          <w:p w14:paraId="48086C6A">
            <w:pPr>
              <w:rPr>
                <w:rFonts w:hint="eastAsia" w:ascii="黑体" w:hAnsi="黑体" w:eastAsia="黑体" w:cs="黑体"/>
                <w:i/>
                <w:iCs/>
                <w:color w:val="000000"/>
                <w:sz w:val="18"/>
                <w:szCs w:val="18"/>
                <w:u w:val="none"/>
              </w:rPr>
            </w:pPr>
          </w:p>
        </w:tc>
      </w:tr>
      <w:tr w14:paraId="31F05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45300975">
            <w:pPr>
              <w:jc w:val="cente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1D10BA43">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925" w:type="dxa"/>
            <w:tcBorders>
              <w:top w:val="single" w:color="000000" w:sz="4" w:space="0"/>
              <w:left w:val="single" w:color="000000" w:sz="4" w:space="0"/>
              <w:bottom w:val="single" w:color="000000" w:sz="4" w:space="0"/>
              <w:right w:val="single" w:color="000000" w:sz="4" w:space="0"/>
            </w:tcBorders>
            <w:vAlign w:val="center"/>
          </w:tcPr>
          <w:p w14:paraId="4BCE6838">
            <w:pPr>
              <w:jc w:val="center"/>
              <w:rPr>
                <w:rFonts w:hint="eastAsia" w:ascii="微软雅黑" w:hAnsi="微软雅黑" w:eastAsia="微软雅黑" w:cs="微软雅黑"/>
                <w:i/>
                <w:iCs/>
                <w:color w:val="000000"/>
                <w:sz w:val="16"/>
                <w:szCs w:val="16"/>
                <w:u w:val="none"/>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7FCBEB1B">
            <w:pPr>
              <w:jc w:val="center"/>
              <w:rPr>
                <w:rFonts w:hint="eastAsia" w:ascii="微软雅黑" w:hAnsi="微软雅黑" w:eastAsia="微软雅黑" w:cs="微软雅黑"/>
                <w:i/>
                <w:iCs/>
                <w:color w:val="000000"/>
                <w:sz w:val="16"/>
                <w:szCs w:val="16"/>
                <w:u w:val="none"/>
              </w:rPr>
            </w:pPr>
          </w:p>
        </w:tc>
        <w:tc>
          <w:tcPr>
            <w:tcW w:w="2614" w:type="dxa"/>
            <w:gridSpan w:val="3"/>
            <w:tcBorders>
              <w:top w:val="single" w:color="000000" w:sz="4" w:space="0"/>
              <w:left w:val="single" w:color="000000" w:sz="4" w:space="0"/>
              <w:bottom w:val="single" w:color="000000" w:sz="4" w:space="0"/>
              <w:right w:val="single" w:color="000000" w:sz="4" w:space="0"/>
            </w:tcBorders>
            <w:vAlign w:val="center"/>
          </w:tcPr>
          <w:p w14:paraId="256FBE03">
            <w:pPr>
              <w:jc w:val="center"/>
              <w:rPr>
                <w:rFonts w:hint="eastAsia" w:ascii="微软雅黑" w:hAnsi="微软雅黑" w:eastAsia="微软雅黑" w:cs="微软雅黑"/>
                <w:i/>
                <w:iCs/>
                <w:color w:val="000000"/>
                <w:sz w:val="16"/>
                <w:szCs w:val="16"/>
                <w:u w:val="none"/>
              </w:rPr>
            </w:pPr>
          </w:p>
        </w:tc>
        <w:tc>
          <w:tcPr>
            <w:tcW w:w="970" w:type="dxa"/>
            <w:tcBorders>
              <w:top w:val="single" w:color="000000" w:sz="4" w:space="0"/>
              <w:left w:val="single" w:color="000000" w:sz="4" w:space="0"/>
              <w:bottom w:val="single" w:color="000000" w:sz="4" w:space="0"/>
              <w:right w:val="single" w:color="000000" w:sz="4" w:space="0"/>
            </w:tcBorders>
            <w:vAlign w:val="center"/>
          </w:tcPr>
          <w:p w14:paraId="036DBAD2">
            <w:pPr>
              <w:jc w:val="center"/>
              <w:rPr>
                <w:rFonts w:hint="eastAsia" w:ascii="微软雅黑" w:hAnsi="微软雅黑" w:eastAsia="微软雅黑" w:cs="微软雅黑"/>
                <w:i/>
                <w:iCs/>
                <w:color w:val="000000"/>
                <w:sz w:val="16"/>
                <w:szCs w:val="16"/>
                <w:u w:val="none"/>
              </w:rPr>
            </w:pPr>
          </w:p>
        </w:tc>
        <w:tc>
          <w:tcPr>
            <w:tcW w:w="805" w:type="dxa"/>
            <w:tcBorders>
              <w:top w:val="single" w:color="000000" w:sz="4" w:space="0"/>
              <w:left w:val="single" w:color="000000" w:sz="4" w:space="0"/>
              <w:bottom w:val="single" w:color="000000" w:sz="4" w:space="0"/>
              <w:right w:val="single" w:color="000000" w:sz="4" w:space="0"/>
            </w:tcBorders>
            <w:vAlign w:val="center"/>
          </w:tcPr>
          <w:p w14:paraId="634F77E7">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31" w:type="dxa"/>
            <w:tcBorders>
              <w:top w:val="single" w:color="000000" w:sz="4" w:space="0"/>
              <w:left w:val="single" w:color="000000" w:sz="4" w:space="0"/>
              <w:bottom w:val="single" w:color="000000" w:sz="4" w:space="0"/>
              <w:right w:val="single" w:color="000000" w:sz="4" w:space="0"/>
            </w:tcBorders>
            <w:vAlign w:val="center"/>
          </w:tcPr>
          <w:p w14:paraId="1AC87689">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18" w:type="dxa"/>
            <w:vMerge w:val="continue"/>
            <w:tcBorders>
              <w:top w:val="single" w:color="000000" w:sz="4" w:space="0"/>
              <w:left w:val="single" w:color="000000" w:sz="4" w:space="0"/>
              <w:bottom w:val="single" w:color="000000" w:sz="4" w:space="0"/>
              <w:right w:val="single" w:color="000000" w:sz="4" w:space="0"/>
            </w:tcBorders>
            <w:vAlign w:val="center"/>
          </w:tcPr>
          <w:p w14:paraId="7F48FB11">
            <w:pPr>
              <w:rPr>
                <w:rFonts w:hint="eastAsia" w:ascii="黑体" w:hAnsi="黑体" w:eastAsia="黑体" w:cs="黑体"/>
                <w:i/>
                <w:iCs/>
                <w:color w:val="000000"/>
                <w:sz w:val="18"/>
                <w:szCs w:val="18"/>
                <w:u w:val="none"/>
              </w:rPr>
            </w:pPr>
          </w:p>
        </w:tc>
      </w:tr>
      <w:tr w14:paraId="61D91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restart"/>
            <w:tcBorders>
              <w:top w:val="single" w:color="000000" w:sz="4" w:space="0"/>
              <w:left w:val="single" w:color="000000" w:sz="4" w:space="0"/>
              <w:bottom w:val="single" w:color="000000" w:sz="4" w:space="0"/>
              <w:right w:val="single" w:color="000000" w:sz="4" w:space="0"/>
            </w:tcBorders>
            <w:vAlign w:val="center"/>
          </w:tcPr>
          <w:p w14:paraId="27683B31">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953" w:type="dxa"/>
            <w:tcBorders>
              <w:top w:val="single" w:color="000000" w:sz="4" w:space="0"/>
              <w:left w:val="single" w:color="000000" w:sz="4" w:space="0"/>
              <w:bottom w:val="single" w:color="000000" w:sz="4" w:space="0"/>
              <w:right w:val="single" w:color="000000" w:sz="4" w:space="0"/>
            </w:tcBorders>
            <w:vAlign w:val="center"/>
          </w:tcPr>
          <w:p w14:paraId="76712720">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925" w:type="dxa"/>
            <w:tcBorders>
              <w:top w:val="single" w:color="000000" w:sz="4" w:space="0"/>
              <w:left w:val="single" w:color="000000" w:sz="4" w:space="0"/>
              <w:bottom w:val="single" w:color="000000" w:sz="4" w:space="0"/>
              <w:right w:val="single" w:color="000000" w:sz="4" w:space="0"/>
            </w:tcBorders>
            <w:vAlign w:val="center"/>
          </w:tcPr>
          <w:p w14:paraId="2CCFB4AF">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925" w:type="dxa"/>
            <w:tcBorders>
              <w:top w:val="single" w:color="000000" w:sz="4" w:space="0"/>
              <w:left w:val="single" w:color="000000" w:sz="4" w:space="0"/>
              <w:bottom w:val="single" w:color="000000" w:sz="4" w:space="0"/>
              <w:right w:val="single" w:color="000000" w:sz="4" w:space="0"/>
            </w:tcBorders>
            <w:vAlign w:val="center"/>
          </w:tcPr>
          <w:p w14:paraId="00904BFB">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892" w:type="dxa"/>
            <w:tcBorders>
              <w:top w:val="single" w:color="000000" w:sz="4" w:space="0"/>
              <w:left w:val="single" w:color="000000" w:sz="4" w:space="0"/>
              <w:bottom w:val="single" w:color="000000" w:sz="4" w:space="0"/>
              <w:right w:val="single" w:color="000000" w:sz="4" w:space="0"/>
            </w:tcBorders>
            <w:vAlign w:val="center"/>
          </w:tcPr>
          <w:p w14:paraId="3DDD8113">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909" w:type="dxa"/>
            <w:tcBorders>
              <w:top w:val="single" w:color="000000" w:sz="4" w:space="0"/>
              <w:left w:val="single" w:color="000000" w:sz="4" w:space="0"/>
              <w:bottom w:val="single" w:color="000000" w:sz="4" w:space="0"/>
              <w:right w:val="single" w:color="000000" w:sz="4" w:space="0"/>
            </w:tcBorders>
            <w:vAlign w:val="center"/>
          </w:tcPr>
          <w:p w14:paraId="298BF294">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813" w:type="dxa"/>
            <w:tcBorders>
              <w:top w:val="single" w:color="000000" w:sz="4" w:space="0"/>
              <w:left w:val="single" w:color="000000" w:sz="4" w:space="0"/>
              <w:bottom w:val="single" w:color="000000" w:sz="4" w:space="0"/>
              <w:right w:val="single" w:color="000000" w:sz="4" w:space="0"/>
            </w:tcBorders>
            <w:vAlign w:val="center"/>
          </w:tcPr>
          <w:p w14:paraId="536D9960">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970" w:type="dxa"/>
            <w:tcBorders>
              <w:top w:val="single" w:color="000000" w:sz="4" w:space="0"/>
              <w:left w:val="single" w:color="000000" w:sz="4" w:space="0"/>
              <w:bottom w:val="single" w:color="000000" w:sz="4" w:space="0"/>
              <w:right w:val="single" w:color="000000" w:sz="4" w:space="0"/>
            </w:tcBorders>
            <w:vAlign w:val="center"/>
          </w:tcPr>
          <w:p w14:paraId="7DA507DB">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805" w:type="dxa"/>
            <w:tcBorders>
              <w:top w:val="single" w:color="000000" w:sz="4" w:space="0"/>
              <w:left w:val="single" w:color="000000" w:sz="4" w:space="0"/>
              <w:bottom w:val="single" w:color="000000" w:sz="4" w:space="0"/>
              <w:right w:val="single" w:color="000000" w:sz="4" w:space="0"/>
            </w:tcBorders>
            <w:vAlign w:val="center"/>
          </w:tcPr>
          <w:p w14:paraId="0FEEB964">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731" w:type="dxa"/>
            <w:tcBorders>
              <w:top w:val="single" w:color="000000" w:sz="4" w:space="0"/>
              <w:left w:val="single" w:color="000000" w:sz="4" w:space="0"/>
              <w:bottom w:val="single" w:color="000000" w:sz="4" w:space="0"/>
              <w:right w:val="single" w:color="000000" w:sz="4" w:space="0"/>
            </w:tcBorders>
            <w:vAlign w:val="center"/>
          </w:tcPr>
          <w:p w14:paraId="59E22989">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918" w:type="dxa"/>
            <w:tcBorders>
              <w:top w:val="single" w:color="000000" w:sz="4" w:space="0"/>
              <w:left w:val="single" w:color="000000" w:sz="4" w:space="0"/>
              <w:bottom w:val="single" w:color="000000" w:sz="4" w:space="0"/>
              <w:right w:val="single" w:color="000000" w:sz="4" w:space="0"/>
            </w:tcBorders>
            <w:vAlign w:val="center"/>
          </w:tcPr>
          <w:p w14:paraId="09C0A6D9">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7C359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73B8A32E">
            <w:pPr>
              <w:jc w:val="center"/>
              <w:rPr>
                <w:rFonts w:hint="eastAsia" w:ascii="宋体" w:hAnsi="宋体" w:eastAsia="宋体" w:cs="宋体"/>
                <w:i w:val="0"/>
                <w:iCs w:val="0"/>
                <w:color w:val="000000"/>
                <w:sz w:val="18"/>
                <w:szCs w:val="18"/>
                <w:u w:val="none"/>
              </w:rPr>
            </w:pPr>
          </w:p>
        </w:tc>
        <w:tc>
          <w:tcPr>
            <w:tcW w:w="953" w:type="dxa"/>
            <w:vMerge w:val="restart"/>
            <w:tcBorders>
              <w:top w:val="single" w:color="000000" w:sz="4" w:space="0"/>
              <w:left w:val="single" w:color="000000" w:sz="4" w:space="0"/>
              <w:bottom w:val="single" w:color="000000" w:sz="4" w:space="0"/>
              <w:right w:val="single" w:color="000000" w:sz="4" w:space="0"/>
            </w:tcBorders>
            <w:vAlign w:val="center"/>
          </w:tcPr>
          <w:p w14:paraId="321D1759">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925" w:type="dxa"/>
            <w:vMerge w:val="restart"/>
            <w:tcBorders>
              <w:top w:val="single" w:color="000000" w:sz="4" w:space="0"/>
              <w:left w:val="single" w:color="000000" w:sz="4" w:space="0"/>
              <w:bottom w:val="single" w:color="000000" w:sz="4" w:space="0"/>
              <w:right w:val="single" w:color="000000" w:sz="4" w:space="0"/>
            </w:tcBorders>
            <w:vAlign w:val="center"/>
          </w:tcPr>
          <w:p w14:paraId="4853B926">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925" w:type="dxa"/>
            <w:tcBorders>
              <w:top w:val="single" w:color="000000" w:sz="4" w:space="0"/>
              <w:left w:val="single" w:color="000000" w:sz="4" w:space="0"/>
              <w:bottom w:val="single" w:color="000000" w:sz="4" w:space="0"/>
              <w:right w:val="single" w:color="000000" w:sz="4" w:space="0"/>
            </w:tcBorders>
            <w:vAlign w:val="center"/>
          </w:tcPr>
          <w:p w14:paraId="3482C732">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足额保障率</w:t>
            </w:r>
          </w:p>
        </w:tc>
        <w:tc>
          <w:tcPr>
            <w:tcW w:w="892" w:type="dxa"/>
            <w:tcBorders>
              <w:top w:val="single" w:color="000000" w:sz="4" w:space="0"/>
              <w:left w:val="single" w:color="000000" w:sz="4" w:space="0"/>
              <w:bottom w:val="single" w:color="000000" w:sz="4" w:space="0"/>
              <w:right w:val="single" w:color="000000" w:sz="4" w:space="0"/>
            </w:tcBorders>
            <w:vAlign w:val="center"/>
          </w:tcPr>
          <w:p w14:paraId="269A21D3">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09" w:type="dxa"/>
            <w:tcBorders>
              <w:top w:val="single" w:color="000000" w:sz="4" w:space="0"/>
              <w:left w:val="single" w:color="000000" w:sz="4" w:space="0"/>
              <w:bottom w:val="single" w:color="000000" w:sz="4" w:space="0"/>
              <w:right w:val="single" w:color="000000" w:sz="4" w:space="0"/>
            </w:tcBorders>
            <w:vAlign w:val="center"/>
          </w:tcPr>
          <w:p w14:paraId="032C5696">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813" w:type="dxa"/>
            <w:tcBorders>
              <w:top w:val="single" w:color="000000" w:sz="4" w:space="0"/>
              <w:left w:val="single" w:color="000000" w:sz="4" w:space="0"/>
              <w:bottom w:val="single" w:color="000000" w:sz="4" w:space="0"/>
              <w:right w:val="single" w:color="000000" w:sz="4" w:space="0"/>
            </w:tcBorders>
            <w:vAlign w:val="center"/>
          </w:tcPr>
          <w:p w14:paraId="15116599">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70" w:type="dxa"/>
            <w:tcBorders>
              <w:top w:val="single" w:color="000000" w:sz="4" w:space="0"/>
              <w:left w:val="single" w:color="000000" w:sz="4" w:space="0"/>
              <w:bottom w:val="single" w:color="000000" w:sz="4" w:space="0"/>
              <w:right w:val="single" w:color="000000" w:sz="4" w:space="0"/>
            </w:tcBorders>
            <w:vAlign w:val="center"/>
          </w:tcPr>
          <w:p w14:paraId="728CD4F4">
            <w:pPr>
              <w:jc w:val="center"/>
              <w:rPr>
                <w:rFonts w:hint="eastAsia" w:ascii="微软雅黑" w:hAnsi="微软雅黑" w:eastAsia="微软雅黑" w:cs="微软雅黑"/>
                <w:i/>
                <w:iCs/>
                <w:color w:val="000000"/>
                <w:sz w:val="16"/>
                <w:szCs w:val="16"/>
                <w:u w:val="none"/>
              </w:rPr>
            </w:pPr>
          </w:p>
        </w:tc>
        <w:tc>
          <w:tcPr>
            <w:tcW w:w="805" w:type="dxa"/>
            <w:tcBorders>
              <w:top w:val="single" w:color="000000" w:sz="4" w:space="0"/>
              <w:left w:val="single" w:color="000000" w:sz="4" w:space="0"/>
              <w:bottom w:val="single" w:color="000000" w:sz="4" w:space="0"/>
              <w:right w:val="single" w:color="000000" w:sz="4" w:space="0"/>
            </w:tcBorders>
            <w:vAlign w:val="center"/>
          </w:tcPr>
          <w:p w14:paraId="31B76031">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22.5</w:t>
            </w:r>
          </w:p>
        </w:tc>
        <w:tc>
          <w:tcPr>
            <w:tcW w:w="731" w:type="dxa"/>
            <w:tcBorders>
              <w:top w:val="single" w:color="000000" w:sz="4" w:space="0"/>
              <w:left w:val="single" w:color="000000" w:sz="4" w:space="0"/>
              <w:bottom w:val="single" w:color="000000" w:sz="4" w:space="0"/>
              <w:right w:val="single" w:color="000000" w:sz="4" w:space="0"/>
            </w:tcBorders>
            <w:vAlign w:val="center"/>
          </w:tcPr>
          <w:p w14:paraId="13FEF8AC">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22.5</w:t>
            </w:r>
          </w:p>
        </w:tc>
        <w:tc>
          <w:tcPr>
            <w:tcW w:w="918" w:type="dxa"/>
            <w:tcBorders>
              <w:top w:val="single" w:color="000000" w:sz="4" w:space="0"/>
              <w:left w:val="single" w:color="000000" w:sz="4" w:space="0"/>
              <w:bottom w:val="single" w:color="000000" w:sz="4" w:space="0"/>
              <w:right w:val="single" w:color="000000" w:sz="4" w:space="0"/>
            </w:tcBorders>
            <w:vAlign w:val="center"/>
          </w:tcPr>
          <w:p w14:paraId="413FB0FD">
            <w:pPr>
              <w:jc w:val="center"/>
              <w:rPr>
                <w:rFonts w:hint="eastAsia" w:ascii="微软雅黑" w:hAnsi="微软雅黑" w:eastAsia="微软雅黑" w:cs="微软雅黑"/>
                <w:i/>
                <w:iCs/>
                <w:color w:val="000000"/>
                <w:sz w:val="16"/>
                <w:szCs w:val="16"/>
                <w:u w:val="none"/>
              </w:rPr>
            </w:pPr>
          </w:p>
        </w:tc>
      </w:tr>
      <w:tr w14:paraId="44E39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29571994">
            <w:pPr>
              <w:jc w:val="center"/>
              <w:rPr>
                <w:rFonts w:hint="eastAsia" w:ascii="宋体" w:hAnsi="宋体" w:eastAsia="宋体" w:cs="宋体"/>
                <w:i w:val="0"/>
                <w:iCs w:val="0"/>
                <w:color w:val="000000"/>
                <w:sz w:val="18"/>
                <w:szCs w:val="18"/>
                <w:u w:val="none"/>
              </w:rPr>
            </w:pPr>
          </w:p>
        </w:tc>
        <w:tc>
          <w:tcPr>
            <w:tcW w:w="953" w:type="dxa"/>
            <w:vMerge w:val="continue"/>
            <w:tcBorders>
              <w:top w:val="single" w:color="000000" w:sz="4" w:space="0"/>
              <w:left w:val="single" w:color="000000" w:sz="4" w:space="0"/>
              <w:bottom w:val="single" w:color="000000" w:sz="4" w:space="0"/>
              <w:right w:val="single" w:color="000000" w:sz="4" w:space="0"/>
            </w:tcBorders>
            <w:vAlign w:val="center"/>
          </w:tcPr>
          <w:p w14:paraId="25CBEFE7">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vAlign w:val="center"/>
          </w:tcPr>
          <w:p w14:paraId="06E6BCFB">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686D307A">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科目调整次数</w:t>
            </w:r>
          </w:p>
        </w:tc>
        <w:tc>
          <w:tcPr>
            <w:tcW w:w="892" w:type="dxa"/>
            <w:tcBorders>
              <w:top w:val="single" w:color="000000" w:sz="4" w:space="0"/>
              <w:left w:val="single" w:color="000000" w:sz="4" w:space="0"/>
              <w:bottom w:val="single" w:color="000000" w:sz="4" w:space="0"/>
              <w:right w:val="single" w:color="000000" w:sz="4" w:space="0"/>
            </w:tcBorders>
            <w:vAlign w:val="center"/>
          </w:tcPr>
          <w:p w14:paraId="3907D585">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09" w:type="dxa"/>
            <w:tcBorders>
              <w:top w:val="single" w:color="000000" w:sz="4" w:space="0"/>
              <w:left w:val="single" w:color="000000" w:sz="4" w:space="0"/>
              <w:bottom w:val="single" w:color="000000" w:sz="4" w:space="0"/>
              <w:right w:val="single" w:color="000000" w:sz="4" w:space="0"/>
            </w:tcBorders>
            <w:vAlign w:val="center"/>
          </w:tcPr>
          <w:p w14:paraId="32B48F3A">
            <w:pPr>
              <w:widowControl/>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rPr>
              <w:t>10</w:t>
            </w:r>
          </w:p>
        </w:tc>
        <w:tc>
          <w:tcPr>
            <w:tcW w:w="813" w:type="dxa"/>
            <w:tcBorders>
              <w:top w:val="single" w:color="000000" w:sz="4" w:space="0"/>
              <w:left w:val="single" w:color="000000" w:sz="4" w:space="0"/>
              <w:bottom w:val="single" w:color="000000" w:sz="4" w:space="0"/>
              <w:right w:val="single" w:color="000000" w:sz="4" w:space="0"/>
            </w:tcBorders>
            <w:vAlign w:val="center"/>
          </w:tcPr>
          <w:p w14:paraId="469F6BB7">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次</w:t>
            </w:r>
          </w:p>
        </w:tc>
        <w:tc>
          <w:tcPr>
            <w:tcW w:w="970" w:type="dxa"/>
            <w:tcBorders>
              <w:top w:val="single" w:color="000000" w:sz="4" w:space="0"/>
              <w:left w:val="single" w:color="000000" w:sz="4" w:space="0"/>
              <w:bottom w:val="single" w:color="000000" w:sz="4" w:space="0"/>
              <w:right w:val="single" w:color="000000" w:sz="4" w:space="0"/>
            </w:tcBorders>
            <w:vAlign w:val="center"/>
          </w:tcPr>
          <w:p w14:paraId="5A786A5E">
            <w:pPr>
              <w:jc w:val="center"/>
              <w:rPr>
                <w:rFonts w:hint="eastAsia" w:ascii="微软雅黑" w:hAnsi="微软雅黑" w:eastAsia="微软雅黑" w:cs="微软雅黑"/>
                <w:i/>
                <w:iCs/>
                <w:color w:val="000000"/>
                <w:sz w:val="16"/>
                <w:szCs w:val="16"/>
                <w:u w:val="none"/>
              </w:rPr>
            </w:pPr>
          </w:p>
        </w:tc>
        <w:tc>
          <w:tcPr>
            <w:tcW w:w="805" w:type="dxa"/>
            <w:tcBorders>
              <w:top w:val="single" w:color="000000" w:sz="4" w:space="0"/>
              <w:left w:val="single" w:color="000000" w:sz="4" w:space="0"/>
              <w:bottom w:val="single" w:color="000000" w:sz="4" w:space="0"/>
              <w:right w:val="single" w:color="000000" w:sz="4" w:space="0"/>
            </w:tcBorders>
            <w:vAlign w:val="center"/>
          </w:tcPr>
          <w:p w14:paraId="5E9B1CAF">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22.5</w:t>
            </w:r>
          </w:p>
        </w:tc>
        <w:tc>
          <w:tcPr>
            <w:tcW w:w="731" w:type="dxa"/>
            <w:tcBorders>
              <w:top w:val="single" w:color="000000" w:sz="4" w:space="0"/>
              <w:left w:val="single" w:color="000000" w:sz="4" w:space="0"/>
              <w:bottom w:val="single" w:color="000000" w:sz="4" w:space="0"/>
              <w:right w:val="single" w:color="000000" w:sz="4" w:space="0"/>
            </w:tcBorders>
            <w:vAlign w:val="center"/>
          </w:tcPr>
          <w:p w14:paraId="4BC6DFB1">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19</w:t>
            </w:r>
          </w:p>
        </w:tc>
        <w:tc>
          <w:tcPr>
            <w:tcW w:w="918" w:type="dxa"/>
            <w:tcBorders>
              <w:top w:val="single" w:color="000000" w:sz="4" w:space="0"/>
              <w:left w:val="single" w:color="000000" w:sz="4" w:space="0"/>
              <w:bottom w:val="single" w:color="000000" w:sz="4" w:space="0"/>
              <w:right w:val="single" w:color="000000" w:sz="4" w:space="0"/>
            </w:tcBorders>
            <w:vAlign w:val="center"/>
          </w:tcPr>
          <w:p w14:paraId="762AA678">
            <w:pPr>
              <w:jc w:val="center"/>
              <w:rPr>
                <w:rFonts w:hint="eastAsia" w:ascii="微软雅黑" w:hAnsi="微软雅黑" w:eastAsia="微软雅黑" w:cs="微软雅黑"/>
                <w:i/>
                <w:iCs/>
                <w:color w:val="000000"/>
                <w:sz w:val="16"/>
                <w:szCs w:val="16"/>
                <w:u w:val="none"/>
              </w:rPr>
            </w:pPr>
          </w:p>
        </w:tc>
      </w:tr>
      <w:tr w14:paraId="34FF8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5F858460">
            <w:pPr>
              <w:jc w:val="center"/>
              <w:rPr>
                <w:rFonts w:hint="eastAsia" w:ascii="宋体" w:hAnsi="宋体" w:eastAsia="宋体" w:cs="宋体"/>
                <w:i w:val="0"/>
                <w:iCs w:val="0"/>
                <w:color w:val="000000"/>
                <w:sz w:val="18"/>
                <w:szCs w:val="18"/>
                <w:u w:val="none"/>
              </w:rPr>
            </w:pPr>
          </w:p>
        </w:tc>
        <w:tc>
          <w:tcPr>
            <w:tcW w:w="953" w:type="dxa"/>
            <w:vMerge w:val="continue"/>
            <w:tcBorders>
              <w:top w:val="single" w:color="000000" w:sz="4" w:space="0"/>
              <w:left w:val="single" w:color="000000" w:sz="4" w:space="0"/>
              <w:bottom w:val="single" w:color="000000" w:sz="4" w:space="0"/>
              <w:right w:val="single" w:color="000000" w:sz="4" w:space="0"/>
            </w:tcBorders>
            <w:vAlign w:val="center"/>
          </w:tcPr>
          <w:p w14:paraId="1C606C6F">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53AE4773">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925" w:type="dxa"/>
            <w:tcBorders>
              <w:top w:val="single" w:color="000000" w:sz="4" w:space="0"/>
              <w:left w:val="single" w:color="000000" w:sz="4" w:space="0"/>
              <w:bottom w:val="single" w:color="000000" w:sz="4" w:space="0"/>
              <w:right w:val="single" w:color="000000" w:sz="4" w:space="0"/>
            </w:tcBorders>
            <w:vAlign w:val="center"/>
          </w:tcPr>
          <w:p w14:paraId="590A6C5A">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按时发放率</w:t>
            </w:r>
          </w:p>
        </w:tc>
        <w:tc>
          <w:tcPr>
            <w:tcW w:w="892" w:type="dxa"/>
            <w:tcBorders>
              <w:top w:val="single" w:color="000000" w:sz="4" w:space="0"/>
              <w:left w:val="single" w:color="000000" w:sz="4" w:space="0"/>
              <w:bottom w:val="single" w:color="000000" w:sz="4" w:space="0"/>
              <w:right w:val="single" w:color="000000" w:sz="4" w:space="0"/>
            </w:tcBorders>
            <w:vAlign w:val="center"/>
          </w:tcPr>
          <w:p w14:paraId="0999D4E8">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09" w:type="dxa"/>
            <w:tcBorders>
              <w:top w:val="single" w:color="000000" w:sz="4" w:space="0"/>
              <w:left w:val="single" w:color="000000" w:sz="4" w:space="0"/>
              <w:bottom w:val="single" w:color="000000" w:sz="4" w:space="0"/>
              <w:right w:val="single" w:color="000000" w:sz="4" w:space="0"/>
            </w:tcBorders>
            <w:vAlign w:val="center"/>
          </w:tcPr>
          <w:p w14:paraId="1D5CD124">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813" w:type="dxa"/>
            <w:tcBorders>
              <w:top w:val="single" w:color="000000" w:sz="4" w:space="0"/>
              <w:left w:val="single" w:color="000000" w:sz="4" w:space="0"/>
              <w:bottom w:val="single" w:color="000000" w:sz="4" w:space="0"/>
              <w:right w:val="single" w:color="000000" w:sz="4" w:space="0"/>
            </w:tcBorders>
            <w:vAlign w:val="center"/>
          </w:tcPr>
          <w:p w14:paraId="50B5BC15">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70" w:type="dxa"/>
            <w:tcBorders>
              <w:top w:val="single" w:color="000000" w:sz="4" w:space="0"/>
              <w:left w:val="single" w:color="000000" w:sz="4" w:space="0"/>
              <w:bottom w:val="single" w:color="000000" w:sz="4" w:space="0"/>
              <w:right w:val="single" w:color="000000" w:sz="4" w:space="0"/>
            </w:tcBorders>
            <w:vAlign w:val="center"/>
          </w:tcPr>
          <w:p w14:paraId="59D12278">
            <w:pPr>
              <w:jc w:val="center"/>
              <w:rPr>
                <w:rFonts w:hint="eastAsia" w:ascii="微软雅黑" w:hAnsi="微软雅黑" w:eastAsia="微软雅黑" w:cs="微软雅黑"/>
                <w:i/>
                <w:iCs/>
                <w:color w:val="000000"/>
                <w:sz w:val="16"/>
                <w:szCs w:val="16"/>
                <w:u w:val="none"/>
              </w:rPr>
            </w:pPr>
          </w:p>
        </w:tc>
        <w:tc>
          <w:tcPr>
            <w:tcW w:w="805" w:type="dxa"/>
            <w:tcBorders>
              <w:top w:val="single" w:color="000000" w:sz="4" w:space="0"/>
              <w:left w:val="single" w:color="000000" w:sz="4" w:space="0"/>
              <w:bottom w:val="single" w:color="000000" w:sz="4" w:space="0"/>
              <w:right w:val="single" w:color="000000" w:sz="4" w:space="0"/>
            </w:tcBorders>
            <w:vAlign w:val="center"/>
          </w:tcPr>
          <w:p w14:paraId="34176FE0">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22.5</w:t>
            </w:r>
          </w:p>
        </w:tc>
        <w:tc>
          <w:tcPr>
            <w:tcW w:w="731" w:type="dxa"/>
            <w:tcBorders>
              <w:top w:val="single" w:color="000000" w:sz="4" w:space="0"/>
              <w:left w:val="single" w:color="000000" w:sz="4" w:space="0"/>
              <w:bottom w:val="single" w:color="000000" w:sz="4" w:space="0"/>
              <w:right w:val="single" w:color="000000" w:sz="4" w:space="0"/>
            </w:tcBorders>
            <w:vAlign w:val="center"/>
          </w:tcPr>
          <w:p w14:paraId="3E22E5E0">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18</w:t>
            </w:r>
          </w:p>
        </w:tc>
        <w:tc>
          <w:tcPr>
            <w:tcW w:w="918" w:type="dxa"/>
            <w:tcBorders>
              <w:top w:val="single" w:color="000000" w:sz="4" w:space="0"/>
              <w:left w:val="single" w:color="000000" w:sz="4" w:space="0"/>
              <w:bottom w:val="single" w:color="000000" w:sz="4" w:space="0"/>
              <w:right w:val="single" w:color="000000" w:sz="4" w:space="0"/>
            </w:tcBorders>
            <w:vAlign w:val="center"/>
          </w:tcPr>
          <w:p w14:paraId="4D43EDDD">
            <w:pPr>
              <w:jc w:val="center"/>
              <w:rPr>
                <w:rFonts w:hint="eastAsia" w:ascii="微软雅黑" w:hAnsi="微软雅黑" w:eastAsia="微软雅黑" w:cs="微软雅黑"/>
                <w:i/>
                <w:iCs/>
                <w:color w:val="000000"/>
                <w:sz w:val="16"/>
                <w:szCs w:val="16"/>
                <w:u w:val="none"/>
              </w:rPr>
            </w:pPr>
          </w:p>
        </w:tc>
      </w:tr>
      <w:tr w14:paraId="28120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3D60C02D">
            <w:pPr>
              <w:jc w:val="cente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3B00D383">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925" w:type="dxa"/>
            <w:tcBorders>
              <w:top w:val="single" w:color="000000" w:sz="4" w:space="0"/>
              <w:left w:val="single" w:color="000000" w:sz="4" w:space="0"/>
              <w:bottom w:val="single" w:color="000000" w:sz="4" w:space="0"/>
              <w:right w:val="single" w:color="000000" w:sz="4" w:space="0"/>
            </w:tcBorders>
            <w:vAlign w:val="center"/>
          </w:tcPr>
          <w:p w14:paraId="1B2F0AA0">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925" w:type="dxa"/>
            <w:tcBorders>
              <w:top w:val="single" w:color="000000" w:sz="4" w:space="0"/>
              <w:left w:val="single" w:color="000000" w:sz="4" w:space="0"/>
              <w:bottom w:val="single" w:color="000000" w:sz="4" w:space="0"/>
              <w:right w:val="single" w:color="000000" w:sz="4" w:space="0"/>
            </w:tcBorders>
            <w:vAlign w:val="center"/>
          </w:tcPr>
          <w:p w14:paraId="291E12EC">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结余率（计算方法为：结余数/预算数）</w:t>
            </w:r>
          </w:p>
        </w:tc>
        <w:tc>
          <w:tcPr>
            <w:tcW w:w="892" w:type="dxa"/>
            <w:tcBorders>
              <w:top w:val="single" w:color="000000" w:sz="4" w:space="0"/>
              <w:left w:val="single" w:color="000000" w:sz="4" w:space="0"/>
              <w:bottom w:val="single" w:color="000000" w:sz="4" w:space="0"/>
              <w:right w:val="single" w:color="000000" w:sz="4" w:space="0"/>
            </w:tcBorders>
            <w:vAlign w:val="center"/>
          </w:tcPr>
          <w:p w14:paraId="5A597166">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09" w:type="dxa"/>
            <w:tcBorders>
              <w:top w:val="single" w:color="000000" w:sz="4" w:space="0"/>
              <w:left w:val="single" w:color="000000" w:sz="4" w:space="0"/>
              <w:bottom w:val="single" w:color="000000" w:sz="4" w:space="0"/>
              <w:right w:val="single" w:color="000000" w:sz="4" w:space="0"/>
            </w:tcBorders>
            <w:vAlign w:val="center"/>
          </w:tcPr>
          <w:p w14:paraId="150CCFBD">
            <w:pPr>
              <w:widowControl/>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5</w:t>
            </w:r>
          </w:p>
        </w:tc>
        <w:tc>
          <w:tcPr>
            <w:tcW w:w="813" w:type="dxa"/>
            <w:tcBorders>
              <w:top w:val="single" w:color="000000" w:sz="4" w:space="0"/>
              <w:left w:val="single" w:color="000000" w:sz="4" w:space="0"/>
              <w:bottom w:val="single" w:color="000000" w:sz="4" w:space="0"/>
              <w:right w:val="single" w:color="000000" w:sz="4" w:space="0"/>
            </w:tcBorders>
            <w:vAlign w:val="center"/>
          </w:tcPr>
          <w:p w14:paraId="5740A46B">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70" w:type="dxa"/>
            <w:tcBorders>
              <w:top w:val="single" w:color="000000" w:sz="4" w:space="0"/>
              <w:left w:val="single" w:color="000000" w:sz="4" w:space="0"/>
              <w:bottom w:val="single" w:color="000000" w:sz="4" w:space="0"/>
              <w:right w:val="single" w:color="000000" w:sz="4" w:space="0"/>
            </w:tcBorders>
            <w:vAlign w:val="center"/>
          </w:tcPr>
          <w:p w14:paraId="11C6810E">
            <w:pPr>
              <w:jc w:val="center"/>
              <w:rPr>
                <w:rFonts w:hint="eastAsia" w:ascii="微软雅黑" w:hAnsi="微软雅黑" w:eastAsia="微软雅黑" w:cs="微软雅黑"/>
                <w:i/>
                <w:iCs/>
                <w:color w:val="000000"/>
                <w:sz w:val="16"/>
                <w:szCs w:val="16"/>
                <w:u w:val="none"/>
              </w:rPr>
            </w:pPr>
          </w:p>
        </w:tc>
        <w:tc>
          <w:tcPr>
            <w:tcW w:w="805" w:type="dxa"/>
            <w:tcBorders>
              <w:top w:val="single" w:color="000000" w:sz="4" w:space="0"/>
              <w:left w:val="single" w:color="000000" w:sz="4" w:space="0"/>
              <w:bottom w:val="single" w:color="000000" w:sz="4" w:space="0"/>
              <w:right w:val="single" w:color="000000" w:sz="4" w:space="0"/>
            </w:tcBorders>
            <w:vAlign w:val="center"/>
          </w:tcPr>
          <w:p w14:paraId="259BAD6A">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22.5</w:t>
            </w:r>
          </w:p>
        </w:tc>
        <w:tc>
          <w:tcPr>
            <w:tcW w:w="731" w:type="dxa"/>
            <w:tcBorders>
              <w:top w:val="single" w:color="000000" w:sz="4" w:space="0"/>
              <w:left w:val="single" w:color="000000" w:sz="4" w:space="0"/>
              <w:bottom w:val="single" w:color="000000" w:sz="4" w:space="0"/>
              <w:right w:val="single" w:color="000000" w:sz="4" w:space="0"/>
            </w:tcBorders>
            <w:vAlign w:val="center"/>
          </w:tcPr>
          <w:p w14:paraId="6E364469">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21.5</w:t>
            </w:r>
          </w:p>
        </w:tc>
        <w:tc>
          <w:tcPr>
            <w:tcW w:w="918" w:type="dxa"/>
            <w:tcBorders>
              <w:top w:val="single" w:color="000000" w:sz="4" w:space="0"/>
              <w:left w:val="single" w:color="000000" w:sz="4" w:space="0"/>
              <w:bottom w:val="single" w:color="000000" w:sz="4" w:space="0"/>
              <w:right w:val="single" w:color="000000" w:sz="4" w:space="0"/>
            </w:tcBorders>
            <w:vAlign w:val="center"/>
          </w:tcPr>
          <w:p w14:paraId="13BB821E">
            <w:pPr>
              <w:jc w:val="center"/>
              <w:rPr>
                <w:rFonts w:hint="eastAsia" w:ascii="微软雅黑" w:hAnsi="微软雅黑" w:eastAsia="微软雅黑" w:cs="微软雅黑"/>
                <w:i/>
                <w:iCs/>
                <w:color w:val="000000"/>
                <w:sz w:val="16"/>
                <w:szCs w:val="16"/>
                <w:u w:val="none"/>
              </w:rPr>
            </w:pPr>
          </w:p>
        </w:tc>
      </w:tr>
      <w:tr w14:paraId="1D295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66" w:type="dxa"/>
            <w:gridSpan w:val="8"/>
            <w:tcBorders>
              <w:top w:val="single" w:color="000000" w:sz="4" w:space="0"/>
              <w:left w:val="single" w:color="000000" w:sz="4" w:space="0"/>
              <w:bottom w:val="single" w:color="000000" w:sz="4" w:space="0"/>
              <w:right w:val="single" w:color="000000" w:sz="4" w:space="0"/>
            </w:tcBorders>
            <w:vAlign w:val="center"/>
          </w:tcPr>
          <w:p w14:paraId="78635F74">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805" w:type="dxa"/>
            <w:tcBorders>
              <w:top w:val="single" w:color="000000" w:sz="4" w:space="0"/>
              <w:left w:val="single" w:color="000000" w:sz="4" w:space="0"/>
              <w:bottom w:val="single" w:color="000000" w:sz="4" w:space="0"/>
              <w:right w:val="single" w:color="000000" w:sz="4" w:space="0"/>
            </w:tcBorders>
            <w:vAlign w:val="center"/>
          </w:tcPr>
          <w:p w14:paraId="1BA00F51">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31" w:type="dxa"/>
            <w:tcBorders>
              <w:top w:val="single" w:color="000000" w:sz="4" w:space="0"/>
              <w:left w:val="single" w:color="000000" w:sz="4" w:space="0"/>
              <w:bottom w:val="single" w:color="000000" w:sz="4" w:space="0"/>
              <w:right w:val="single" w:color="000000" w:sz="4" w:space="0"/>
            </w:tcBorders>
            <w:vAlign w:val="center"/>
          </w:tcPr>
          <w:p w14:paraId="2F87CAA0">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91</w:t>
            </w:r>
          </w:p>
        </w:tc>
        <w:tc>
          <w:tcPr>
            <w:tcW w:w="918" w:type="dxa"/>
            <w:tcBorders>
              <w:top w:val="single" w:color="000000" w:sz="4" w:space="0"/>
              <w:left w:val="single" w:color="000000" w:sz="4" w:space="0"/>
              <w:bottom w:val="single" w:color="000000" w:sz="4" w:space="0"/>
              <w:right w:val="single" w:color="000000" w:sz="4" w:space="0"/>
            </w:tcBorders>
            <w:vAlign w:val="center"/>
          </w:tcPr>
          <w:p w14:paraId="34C46358">
            <w:pPr>
              <w:rPr>
                <w:rFonts w:hint="eastAsia" w:ascii="宋体" w:hAnsi="宋体" w:eastAsia="宋体" w:cs="宋体"/>
                <w:i w:val="0"/>
                <w:iCs w:val="0"/>
                <w:color w:val="000000"/>
                <w:sz w:val="18"/>
                <w:szCs w:val="18"/>
                <w:u w:val="none"/>
              </w:rPr>
            </w:pPr>
          </w:p>
        </w:tc>
      </w:tr>
      <w:tr w14:paraId="6F07A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tcBorders>
              <w:top w:val="single" w:color="000000" w:sz="4" w:space="0"/>
              <w:left w:val="single" w:color="000000" w:sz="4" w:space="0"/>
              <w:bottom w:val="single" w:color="000000" w:sz="4" w:space="0"/>
              <w:right w:val="single" w:color="000000" w:sz="4" w:space="0"/>
            </w:tcBorders>
            <w:vAlign w:val="center"/>
          </w:tcPr>
          <w:p w14:paraId="3989342D">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8841" w:type="dxa"/>
            <w:gridSpan w:val="10"/>
            <w:tcBorders>
              <w:top w:val="single" w:color="000000" w:sz="4" w:space="0"/>
              <w:left w:val="single" w:color="000000" w:sz="4" w:space="0"/>
              <w:bottom w:val="single" w:color="000000" w:sz="4" w:space="0"/>
              <w:right w:val="single" w:color="000000" w:sz="4" w:space="0"/>
            </w:tcBorders>
            <w:vAlign w:val="center"/>
          </w:tcPr>
          <w:p w14:paraId="1CD67284">
            <w:pPr>
              <w:widowControl/>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rPr>
              <w:t>弃婴护理费资金项目的社会效益是没有发生因弃婴遭人遗弃无专人管理而发生重大事件，确保每名弃婴都得到充分的照顾</w:t>
            </w:r>
          </w:p>
        </w:tc>
      </w:tr>
      <w:tr w14:paraId="2C9F2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tcBorders>
              <w:top w:val="single" w:color="000000" w:sz="4" w:space="0"/>
              <w:left w:val="single" w:color="000000" w:sz="4" w:space="0"/>
              <w:bottom w:val="single" w:color="000000" w:sz="4" w:space="0"/>
              <w:right w:val="single" w:color="000000" w:sz="4" w:space="0"/>
            </w:tcBorders>
            <w:vAlign w:val="center"/>
          </w:tcPr>
          <w:p w14:paraId="0D48C461">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8841" w:type="dxa"/>
            <w:gridSpan w:val="10"/>
            <w:tcBorders>
              <w:top w:val="single" w:color="000000" w:sz="4" w:space="0"/>
              <w:left w:val="single" w:color="000000" w:sz="4" w:space="0"/>
              <w:bottom w:val="single" w:color="000000" w:sz="4" w:space="0"/>
              <w:right w:val="single" w:color="000000" w:sz="4" w:space="0"/>
            </w:tcBorders>
            <w:vAlign w:val="center"/>
          </w:tcPr>
          <w:p w14:paraId="34DDDDBA">
            <w:pPr>
              <w:widowControl/>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rPr>
              <w:t>由于工资低，护理人员不邓聘请，而且护理人员不是专业人事，无法对弃婴提供更好的照料</w:t>
            </w:r>
          </w:p>
        </w:tc>
      </w:tr>
      <w:tr w14:paraId="7C066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tcBorders>
              <w:top w:val="single" w:color="000000" w:sz="4" w:space="0"/>
              <w:left w:val="single" w:color="000000" w:sz="4" w:space="0"/>
              <w:bottom w:val="single" w:color="000000" w:sz="4" w:space="0"/>
              <w:right w:val="single" w:color="000000" w:sz="4" w:space="0"/>
            </w:tcBorders>
            <w:vAlign w:val="center"/>
          </w:tcPr>
          <w:p w14:paraId="3DEAA43B">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8841" w:type="dxa"/>
            <w:gridSpan w:val="10"/>
            <w:tcBorders>
              <w:top w:val="single" w:color="000000" w:sz="4" w:space="0"/>
              <w:left w:val="single" w:color="000000" w:sz="4" w:space="0"/>
              <w:bottom w:val="single" w:color="000000" w:sz="4" w:space="0"/>
              <w:right w:val="single" w:color="000000" w:sz="4" w:space="0"/>
            </w:tcBorders>
            <w:vAlign w:val="center"/>
          </w:tcPr>
          <w:p w14:paraId="3ABA18B6">
            <w:pPr>
              <w:widowControl/>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rPr>
              <w:t>单位加强监管力度，确保弃婴得到充分的照顾</w:t>
            </w:r>
          </w:p>
        </w:tc>
      </w:tr>
      <w:tr w14:paraId="18452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74" w:type="dxa"/>
            <w:gridSpan w:val="5"/>
            <w:tcBorders>
              <w:top w:val="single" w:color="000000" w:sz="4" w:space="0"/>
              <w:left w:val="single" w:color="000000" w:sz="4" w:space="0"/>
              <w:bottom w:val="single" w:color="000000" w:sz="4" w:space="0"/>
              <w:right w:val="single" w:color="000000" w:sz="4" w:space="0"/>
            </w:tcBorders>
            <w:vAlign w:val="center"/>
          </w:tcPr>
          <w:p w14:paraId="2A497737">
            <w:pPr>
              <w:widowControl/>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项目负责人：叶林鑫</w:t>
            </w:r>
          </w:p>
        </w:tc>
        <w:tc>
          <w:tcPr>
            <w:tcW w:w="5146" w:type="dxa"/>
            <w:gridSpan w:val="6"/>
            <w:tcBorders>
              <w:top w:val="single" w:color="000000" w:sz="4" w:space="0"/>
              <w:left w:val="single" w:color="000000" w:sz="4" w:space="0"/>
              <w:bottom w:val="single" w:color="000000" w:sz="4" w:space="0"/>
              <w:right w:val="single" w:color="000000" w:sz="4" w:space="0"/>
            </w:tcBorders>
            <w:vAlign w:val="center"/>
          </w:tcPr>
          <w:p w14:paraId="1CE9A26B">
            <w:pPr>
              <w:widowControl/>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财务负责人：雷丽</w:t>
            </w:r>
          </w:p>
        </w:tc>
      </w:tr>
    </w:tbl>
    <w:p w14:paraId="3B3C8E98">
      <w:pPr>
        <w:spacing w:line="600" w:lineRule="exact"/>
        <w:jc w:val="both"/>
        <w:outlineLvl w:val="0"/>
        <w:rPr>
          <w:rFonts w:hint="eastAsia" w:ascii="黑体" w:hAnsi="黑体" w:eastAsia="黑体"/>
          <w:color w:val="000000"/>
          <w:sz w:val="44"/>
          <w:szCs w:val="44"/>
        </w:rPr>
      </w:pPr>
    </w:p>
    <w:tbl>
      <w:tblPr>
        <w:tblStyle w:val="11"/>
        <w:tblW w:w="9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9"/>
        <w:gridCol w:w="953"/>
        <w:gridCol w:w="925"/>
        <w:gridCol w:w="925"/>
        <w:gridCol w:w="892"/>
        <w:gridCol w:w="909"/>
        <w:gridCol w:w="813"/>
        <w:gridCol w:w="970"/>
        <w:gridCol w:w="805"/>
        <w:gridCol w:w="731"/>
        <w:gridCol w:w="918"/>
      </w:tblGrid>
      <w:tr w14:paraId="59251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20" w:type="dxa"/>
            <w:gridSpan w:val="11"/>
            <w:tcBorders>
              <w:top w:val="single" w:color="000000" w:sz="4" w:space="0"/>
              <w:left w:val="single" w:color="000000" w:sz="4" w:space="0"/>
              <w:bottom w:val="single" w:color="000000" w:sz="4" w:space="0"/>
              <w:right w:val="single" w:color="000000" w:sz="4" w:space="0"/>
            </w:tcBorders>
            <w:vAlign w:val="center"/>
          </w:tcPr>
          <w:p w14:paraId="494A351E">
            <w:pPr>
              <w:widowControl/>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部门预算项目支出绩效自评表（2022年度）</w:t>
            </w:r>
          </w:p>
        </w:tc>
      </w:tr>
      <w:tr w14:paraId="473AD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32" w:type="dxa"/>
            <w:gridSpan w:val="2"/>
            <w:tcBorders>
              <w:top w:val="single" w:color="000000" w:sz="4" w:space="0"/>
              <w:left w:val="single" w:color="000000" w:sz="4" w:space="0"/>
              <w:bottom w:val="single" w:color="000000" w:sz="4" w:space="0"/>
              <w:right w:val="single" w:color="000000" w:sz="4" w:space="0"/>
            </w:tcBorders>
            <w:vAlign w:val="center"/>
          </w:tcPr>
          <w:p w14:paraId="1B28A94C">
            <w:pPr>
              <w:widowControl/>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888" w:type="dxa"/>
            <w:gridSpan w:val="9"/>
            <w:tcBorders>
              <w:top w:val="single" w:color="000000" w:sz="4" w:space="0"/>
              <w:left w:val="single" w:color="000000" w:sz="4" w:space="0"/>
              <w:bottom w:val="single" w:color="000000" w:sz="4" w:space="0"/>
              <w:right w:val="single" w:color="000000" w:sz="4" w:space="0"/>
            </w:tcBorders>
            <w:vAlign w:val="center"/>
          </w:tcPr>
          <w:p w14:paraId="3A22C858">
            <w:pPr>
              <w:widowControl/>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救助对象医疗费</w:t>
            </w:r>
          </w:p>
        </w:tc>
      </w:tr>
      <w:tr w14:paraId="1902A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32" w:type="dxa"/>
            <w:gridSpan w:val="2"/>
            <w:tcBorders>
              <w:top w:val="single" w:color="000000" w:sz="4" w:space="0"/>
              <w:left w:val="single" w:color="000000" w:sz="4" w:space="0"/>
              <w:bottom w:val="single" w:color="000000" w:sz="4" w:space="0"/>
              <w:right w:val="single" w:color="000000" w:sz="4" w:space="0"/>
            </w:tcBorders>
            <w:vAlign w:val="center"/>
          </w:tcPr>
          <w:p w14:paraId="0EC8945A">
            <w:pPr>
              <w:widowControl/>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464" w:type="dxa"/>
            <w:gridSpan w:val="5"/>
            <w:tcBorders>
              <w:top w:val="single" w:color="000000" w:sz="4" w:space="0"/>
              <w:left w:val="single" w:color="000000" w:sz="4" w:space="0"/>
              <w:bottom w:val="single" w:color="000000" w:sz="4" w:space="0"/>
              <w:right w:val="single" w:color="000000" w:sz="4" w:space="0"/>
            </w:tcBorders>
            <w:vAlign w:val="center"/>
          </w:tcPr>
          <w:p w14:paraId="7F762DF1">
            <w:pPr>
              <w:widowControl/>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岳池县民政局</w:t>
            </w:r>
          </w:p>
        </w:tc>
        <w:tc>
          <w:tcPr>
            <w:tcW w:w="970" w:type="dxa"/>
            <w:tcBorders>
              <w:top w:val="nil"/>
              <w:left w:val="nil"/>
              <w:bottom w:val="nil"/>
              <w:right w:val="nil"/>
            </w:tcBorders>
            <w:vAlign w:val="center"/>
          </w:tcPr>
          <w:p w14:paraId="37D2A50C">
            <w:pPr>
              <w:widowControl/>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454" w:type="dxa"/>
            <w:gridSpan w:val="3"/>
            <w:tcBorders>
              <w:top w:val="single" w:color="000000" w:sz="4" w:space="0"/>
              <w:left w:val="single" w:color="000000" w:sz="4" w:space="0"/>
              <w:bottom w:val="single" w:color="000000" w:sz="4" w:space="0"/>
              <w:right w:val="single" w:color="000000" w:sz="4" w:space="0"/>
            </w:tcBorders>
            <w:vAlign w:val="center"/>
          </w:tcPr>
          <w:p w14:paraId="7B4846F3">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岳池县社会救助福利中心</w:t>
            </w:r>
          </w:p>
        </w:tc>
      </w:tr>
      <w:tr w14:paraId="7D689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restart"/>
            <w:tcBorders>
              <w:top w:val="single" w:color="000000" w:sz="4" w:space="0"/>
              <w:left w:val="single" w:color="000000" w:sz="4" w:space="0"/>
              <w:bottom w:val="single" w:color="000000" w:sz="4" w:space="0"/>
              <w:right w:val="single" w:color="000000" w:sz="4" w:space="0"/>
            </w:tcBorders>
            <w:vAlign w:val="center"/>
          </w:tcPr>
          <w:p w14:paraId="4289CAAE">
            <w:pPr>
              <w:widowControl/>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953" w:type="dxa"/>
            <w:vMerge w:val="restart"/>
            <w:tcBorders>
              <w:top w:val="single" w:color="000000" w:sz="4" w:space="0"/>
              <w:left w:val="single" w:color="000000" w:sz="4" w:space="0"/>
              <w:bottom w:val="single" w:color="000000" w:sz="4" w:space="0"/>
              <w:right w:val="single" w:color="000000" w:sz="4" w:space="0"/>
            </w:tcBorders>
            <w:vAlign w:val="center"/>
          </w:tcPr>
          <w:p w14:paraId="5B4B7341">
            <w:pPr>
              <w:widowControl/>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4464" w:type="dxa"/>
            <w:gridSpan w:val="5"/>
            <w:tcBorders>
              <w:top w:val="single" w:color="000000" w:sz="4" w:space="0"/>
              <w:left w:val="single" w:color="000000" w:sz="4" w:space="0"/>
              <w:bottom w:val="single" w:color="000000" w:sz="4" w:space="0"/>
              <w:right w:val="single" w:color="000000" w:sz="4" w:space="0"/>
            </w:tcBorders>
            <w:vAlign w:val="center"/>
          </w:tcPr>
          <w:p w14:paraId="65C4EEA0">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424" w:type="dxa"/>
            <w:gridSpan w:val="4"/>
            <w:tcBorders>
              <w:top w:val="single" w:color="000000" w:sz="4" w:space="0"/>
              <w:left w:val="single" w:color="000000" w:sz="4" w:space="0"/>
              <w:bottom w:val="single" w:color="000000" w:sz="4" w:space="0"/>
              <w:right w:val="single" w:color="000000" w:sz="4" w:space="0"/>
            </w:tcBorders>
            <w:vAlign w:val="center"/>
          </w:tcPr>
          <w:p w14:paraId="22F0C97A">
            <w:pPr>
              <w:widowControl/>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48BC8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10F05920">
            <w:pPr>
              <w:rPr>
                <w:rFonts w:hint="eastAsia" w:ascii="宋体" w:hAnsi="宋体" w:eastAsia="宋体" w:cs="宋体"/>
                <w:i w:val="0"/>
                <w:iCs w:val="0"/>
                <w:color w:val="000000"/>
                <w:sz w:val="18"/>
                <w:szCs w:val="18"/>
                <w:u w:val="none"/>
              </w:rPr>
            </w:pPr>
          </w:p>
        </w:tc>
        <w:tc>
          <w:tcPr>
            <w:tcW w:w="953" w:type="dxa"/>
            <w:vMerge w:val="continue"/>
            <w:tcBorders>
              <w:top w:val="single" w:color="000000" w:sz="4" w:space="0"/>
              <w:left w:val="single" w:color="000000" w:sz="4" w:space="0"/>
              <w:bottom w:val="single" w:color="000000" w:sz="4" w:space="0"/>
              <w:right w:val="single" w:color="000000" w:sz="4" w:space="0"/>
            </w:tcBorders>
            <w:vAlign w:val="center"/>
          </w:tcPr>
          <w:p w14:paraId="3208F2EE">
            <w:pPr>
              <w:rPr>
                <w:rFonts w:hint="eastAsia" w:ascii="宋体" w:hAnsi="宋体" w:eastAsia="宋体" w:cs="宋体"/>
                <w:i w:val="0"/>
                <w:iCs w:val="0"/>
                <w:color w:val="000000"/>
                <w:sz w:val="18"/>
                <w:szCs w:val="18"/>
                <w:u w:val="none"/>
              </w:rPr>
            </w:pPr>
          </w:p>
        </w:tc>
        <w:tc>
          <w:tcPr>
            <w:tcW w:w="4464" w:type="dxa"/>
            <w:gridSpan w:val="5"/>
            <w:tcBorders>
              <w:top w:val="single" w:color="000000" w:sz="4" w:space="0"/>
              <w:left w:val="single" w:color="000000" w:sz="4" w:space="0"/>
              <w:bottom w:val="single" w:color="000000" w:sz="4" w:space="0"/>
              <w:right w:val="single" w:color="000000" w:sz="4" w:space="0"/>
            </w:tcBorders>
            <w:vAlign w:val="center"/>
          </w:tcPr>
          <w:p w14:paraId="37969D6A">
            <w:pPr>
              <w:widowControl/>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完成对流浪乞讨人员进行医疗救治</w:t>
            </w:r>
          </w:p>
        </w:tc>
        <w:tc>
          <w:tcPr>
            <w:tcW w:w="3424" w:type="dxa"/>
            <w:gridSpan w:val="4"/>
            <w:tcBorders>
              <w:top w:val="single" w:color="000000" w:sz="4" w:space="0"/>
              <w:left w:val="single" w:color="000000" w:sz="4" w:space="0"/>
              <w:bottom w:val="single" w:color="000000" w:sz="4" w:space="0"/>
              <w:right w:val="single" w:color="000000" w:sz="4" w:space="0"/>
            </w:tcBorders>
            <w:vAlign w:val="center"/>
          </w:tcPr>
          <w:p w14:paraId="6CA0846A">
            <w:pPr>
              <w:widowControl/>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rPr>
              <w:t>2022年度已对送到救助站的9名流浪乞讨人员进行医疗救治</w:t>
            </w:r>
          </w:p>
        </w:tc>
      </w:tr>
      <w:tr w14:paraId="332C6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20D216E1">
            <w:pP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6215628D">
            <w:pPr>
              <w:widowControl/>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888" w:type="dxa"/>
            <w:gridSpan w:val="9"/>
            <w:tcBorders>
              <w:top w:val="single" w:color="000000" w:sz="4" w:space="0"/>
              <w:left w:val="single" w:color="000000" w:sz="4" w:space="0"/>
              <w:bottom w:val="single" w:color="000000" w:sz="4" w:space="0"/>
              <w:right w:val="single" w:color="000000" w:sz="4" w:space="0"/>
            </w:tcBorders>
            <w:vAlign w:val="center"/>
          </w:tcPr>
          <w:p w14:paraId="7D70B4A2">
            <w:pPr>
              <w:widowControl/>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按照省民政厅、财政厅制定的要求，结合实际，细化措施，制定了流浪乞讨人员</w:t>
            </w:r>
            <w:r>
              <w:rPr>
                <w:rFonts w:hint="eastAsia" w:ascii="宋体" w:hAnsi="宋体" w:cs="宋体"/>
                <w:i w:val="0"/>
                <w:iCs w:val="0"/>
                <w:color w:val="000000"/>
                <w:kern w:val="0"/>
                <w:sz w:val="18"/>
                <w:szCs w:val="18"/>
                <w:u w:val="none"/>
                <w:lang w:val="en-US" w:eastAsia="zh-CN"/>
              </w:rPr>
              <w:t>医疗救助标准，受助人员医疗救治保障范围参照当地城镇基本医疗保险药品目录、诊疗项目范围、医疗服务设施标准执行。</w:t>
            </w:r>
          </w:p>
        </w:tc>
      </w:tr>
      <w:tr w14:paraId="0E372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restart"/>
            <w:tcBorders>
              <w:top w:val="single" w:color="000000" w:sz="4" w:space="0"/>
              <w:left w:val="single" w:color="000000" w:sz="4" w:space="0"/>
              <w:bottom w:val="single" w:color="000000" w:sz="4" w:space="0"/>
              <w:right w:val="single" w:color="000000" w:sz="4" w:space="0"/>
            </w:tcBorders>
            <w:vAlign w:val="center"/>
          </w:tcPr>
          <w:p w14:paraId="1A04263A">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953" w:type="dxa"/>
            <w:tcBorders>
              <w:top w:val="single" w:color="000000" w:sz="4" w:space="0"/>
              <w:left w:val="single" w:color="000000" w:sz="4" w:space="0"/>
              <w:bottom w:val="single" w:color="000000" w:sz="4" w:space="0"/>
              <w:right w:val="single" w:color="000000" w:sz="4" w:space="0"/>
            </w:tcBorders>
            <w:vAlign w:val="center"/>
          </w:tcPr>
          <w:p w14:paraId="2C00E75C">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925" w:type="dxa"/>
            <w:tcBorders>
              <w:top w:val="single" w:color="000000" w:sz="4" w:space="0"/>
              <w:left w:val="single" w:color="000000" w:sz="4" w:space="0"/>
              <w:bottom w:val="single" w:color="000000" w:sz="4" w:space="0"/>
              <w:right w:val="single" w:color="000000" w:sz="4" w:space="0"/>
            </w:tcBorders>
            <w:vAlign w:val="center"/>
          </w:tcPr>
          <w:p w14:paraId="21EE4F28">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925" w:type="dxa"/>
            <w:tcBorders>
              <w:top w:val="single" w:color="000000" w:sz="4" w:space="0"/>
              <w:left w:val="single" w:color="000000" w:sz="4" w:space="0"/>
              <w:bottom w:val="single" w:color="000000" w:sz="4" w:space="0"/>
              <w:right w:val="single" w:color="000000" w:sz="4" w:space="0"/>
            </w:tcBorders>
            <w:vAlign w:val="center"/>
          </w:tcPr>
          <w:p w14:paraId="5DF03B2C">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614" w:type="dxa"/>
            <w:gridSpan w:val="3"/>
            <w:tcBorders>
              <w:top w:val="single" w:color="000000" w:sz="4" w:space="0"/>
              <w:left w:val="single" w:color="000000" w:sz="4" w:space="0"/>
              <w:bottom w:val="single" w:color="000000" w:sz="4" w:space="0"/>
              <w:right w:val="single" w:color="000000" w:sz="4" w:space="0"/>
            </w:tcBorders>
            <w:vAlign w:val="center"/>
          </w:tcPr>
          <w:p w14:paraId="17D0F74C">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970" w:type="dxa"/>
            <w:tcBorders>
              <w:top w:val="single" w:color="000000" w:sz="4" w:space="0"/>
              <w:left w:val="single" w:color="000000" w:sz="4" w:space="0"/>
              <w:bottom w:val="single" w:color="000000" w:sz="4" w:space="0"/>
              <w:right w:val="single" w:color="000000" w:sz="4" w:space="0"/>
            </w:tcBorders>
            <w:vAlign w:val="center"/>
          </w:tcPr>
          <w:p w14:paraId="31D42CF6">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805" w:type="dxa"/>
            <w:tcBorders>
              <w:top w:val="single" w:color="000000" w:sz="4" w:space="0"/>
              <w:left w:val="single" w:color="000000" w:sz="4" w:space="0"/>
              <w:bottom w:val="single" w:color="000000" w:sz="4" w:space="0"/>
              <w:right w:val="single" w:color="000000" w:sz="4" w:space="0"/>
            </w:tcBorders>
            <w:vAlign w:val="center"/>
          </w:tcPr>
          <w:p w14:paraId="0653F3FD">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731" w:type="dxa"/>
            <w:tcBorders>
              <w:top w:val="single" w:color="000000" w:sz="4" w:space="0"/>
              <w:left w:val="single" w:color="000000" w:sz="4" w:space="0"/>
              <w:bottom w:val="single" w:color="000000" w:sz="4" w:space="0"/>
              <w:right w:val="single" w:color="000000" w:sz="4" w:space="0"/>
            </w:tcBorders>
            <w:vAlign w:val="center"/>
          </w:tcPr>
          <w:p w14:paraId="459EC438">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918" w:type="dxa"/>
            <w:tcBorders>
              <w:top w:val="single" w:color="000000" w:sz="4" w:space="0"/>
              <w:left w:val="single" w:color="000000" w:sz="4" w:space="0"/>
              <w:bottom w:val="single" w:color="000000" w:sz="4" w:space="0"/>
              <w:right w:val="single" w:color="000000" w:sz="4" w:space="0"/>
            </w:tcBorders>
            <w:vAlign w:val="center"/>
          </w:tcPr>
          <w:p w14:paraId="0AF435DB">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75140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24148BEF">
            <w:pPr>
              <w:jc w:val="cente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039ED566">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925" w:type="dxa"/>
            <w:tcBorders>
              <w:top w:val="single" w:color="000000" w:sz="4" w:space="0"/>
              <w:left w:val="single" w:color="000000" w:sz="4" w:space="0"/>
              <w:bottom w:val="single" w:color="000000" w:sz="4" w:space="0"/>
              <w:right w:val="single" w:color="000000" w:sz="4" w:space="0"/>
            </w:tcBorders>
            <w:vAlign w:val="center"/>
          </w:tcPr>
          <w:p w14:paraId="751ADE58">
            <w:pPr>
              <w:widowControl/>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rPr>
              <w:t>1.7</w:t>
            </w:r>
          </w:p>
        </w:tc>
        <w:tc>
          <w:tcPr>
            <w:tcW w:w="925" w:type="dxa"/>
            <w:tcBorders>
              <w:top w:val="single" w:color="000000" w:sz="4" w:space="0"/>
              <w:left w:val="single" w:color="000000" w:sz="4" w:space="0"/>
              <w:bottom w:val="single" w:color="000000" w:sz="4" w:space="0"/>
              <w:right w:val="single" w:color="000000" w:sz="4" w:space="0"/>
            </w:tcBorders>
            <w:vAlign w:val="center"/>
          </w:tcPr>
          <w:p w14:paraId="60A8B1E4">
            <w:pPr>
              <w:widowControl/>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rPr>
              <w:t>1.7</w:t>
            </w:r>
          </w:p>
        </w:tc>
        <w:tc>
          <w:tcPr>
            <w:tcW w:w="2614" w:type="dxa"/>
            <w:gridSpan w:val="3"/>
            <w:tcBorders>
              <w:top w:val="single" w:color="000000" w:sz="4" w:space="0"/>
              <w:left w:val="single" w:color="000000" w:sz="4" w:space="0"/>
              <w:bottom w:val="single" w:color="000000" w:sz="4" w:space="0"/>
              <w:right w:val="single" w:color="000000" w:sz="4" w:space="0"/>
            </w:tcBorders>
            <w:vAlign w:val="center"/>
          </w:tcPr>
          <w:p w14:paraId="3F8D9239">
            <w:pPr>
              <w:widowControl/>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rPr>
              <w:t>1.7</w:t>
            </w:r>
          </w:p>
        </w:tc>
        <w:tc>
          <w:tcPr>
            <w:tcW w:w="970" w:type="dxa"/>
            <w:tcBorders>
              <w:top w:val="single" w:color="000000" w:sz="4" w:space="0"/>
              <w:left w:val="single" w:color="000000" w:sz="4" w:space="0"/>
              <w:bottom w:val="single" w:color="000000" w:sz="4" w:space="0"/>
              <w:right w:val="single" w:color="000000" w:sz="4" w:space="0"/>
            </w:tcBorders>
            <w:vAlign w:val="center"/>
          </w:tcPr>
          <w:p w14:paraId="2C6F5ABD">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805" w:type="dxa"/>
            <w:tcBorders>
              <w:top w:val="single" w:color="000000" w:sz="4" w:space="0"/>
              <w:left w:val="single" w:color="000000" w:sz="4" w:space="0"/>
              <w:bottom w:val="single" w:color="000000" w:sz="4" w:space="0"/>
              <w:right w:val="single" w:color="000000" w:sz="4" w:space="0"/>
            </w:tcBorders>
            <w:vAlign w:val="center"/>
          </w:tcPr>
          <w:p w14:paraId="5753803B">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31" w:type="dxa"/>
            <w:tcBorders>
              <w:top w:val="single" w:color="000000" w:sz="4" w:space="0"/>
              <w:left w:val="single" w:color="000000" w:sz="4" w:space="0"/>
              <w:bottom w:val="single" w:color="000000" w:sz="4" w:space="0"/>
              <w:right w:val="single" w:color="000000" w:sz="4" w:space="0"/>
            </w:tcBorders>
            <w:vAlign w:val="center"/>
          </w:tcPr>
          <w:p w14:paraId="479CE413">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18" w:type="dxa"/>
            <w:vMerge w:val="restart"/>
            <w:tcBorders>
              <w:top w:val="single" w:color="000000" w:sz="4" w:space="0"/>
              <w:left w:val="single" w:color="000000" w:sz="4" w:space="0"/>
              <w:bottom w:val="single" w:color="000000" w:sz="4" w:space="0"/>
              <w:right w:val="single" w:color="000000" w:sz="4" w:space="0"/>
            </w:tcBorders>
            <w:vAlign w:val="center"/>
          </w:tcPr>
          <w:p w14:paraId="22071D48">
            <w:pPr>
              <w:rPr>
                <w:rFonts w:hint="eastAsia" w:ascii="黑体" w:hAnsi="黑体" w:eastAsia="黑体" w:cs="黑体"/>
                <w:i/>
                <w:iCs/>
                <w:color w:val="000000"/>
                <w:sz w:val="18"/>
                <w:szCs w:val="18"/>
                <w:u w:val="none"/>
              </w:rPr>
            </w:pPr>
          </w:p>
        </w:tc>
      </w:tr>
      <w:tr w14:paraId="27197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100C2928">
            <w:pPr>
              <w:jc w:val="cente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5CCE60EC">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925" w:type="dxa"/>
            <w:tcBorders>
              <w:top w:val="single" w:color="000000" w:sz="4" w:space="0"/>
              <w:left w:val="single" w:color="000000" w:sz="4" w:space="0"/>
              <w:bottom w:val="single" w:color="000000" w:sz="4" w:space="0"/>
              <w:right w:val="single" w:color="000000" w:sz="4" w:space="0"/>
            </w:tcBorders>
            <w:vAlign w:val="center"/>
          </w:tcPr>
          <w:p w14:paraId="63FD9006">
            <w:pPr>
              <w:widowControl/>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rPr>
              <w:t>1.7</w:t>
            </w:r>
          </w:p>
        </w:tc>
        <w:tc>
          <w:tcPr>
            <w:tcW w:w="925" w:type="dxa"/>
            <w:tcBorders>
              <w:top w:val="single" w:color="000000" w:sz="4" w:space="0"/>
              <w:left w:val="single" w:color="000000" w:sz="4" w:space="0"/>
              <w:bottom w:val="single" w:color="000000" w:sz="4" w:space="0"/>
              <w:right w:val="single" w:color="000000" w:sz="4" w:space="0"/>
            </w:tcBorders>
            <w:vAlign w:val="center"/>
          </w:tcPr>
          <w:p w14:paraId="59F8F6A7">
            <w:pPr>
              <w:widowControl/>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rPr>
              <w:t>1.7</w:t>
            </w:r>
          </w:p>
        </w:tc>
        <w:tc>
          <w:tcPr>
            <w:tcW w:w="2614" w:type="dxa"/>
            <w:gridSpan w:val="3"/>
            <w:tcBorders>
              <w:top w:val="single" w:color="000000" w:sz="4" w:space="0"/>
              <w:left w:val="single" w:color="000000" w:sz="4" w:space="0"/>
              <w:bottom w:val="single" w:color="000000" w:sz="4" w:space="0"/>
              <w:right w:val="single" w:color="000000" w:sz="4" w:space="0"/>
            </w:tcBorders>
            <w:vAlign w:val="center"/>
          </w:tcPr>
          <w:p w14:paraId="53D4AEA9">
            <w:pPr>
              <w:widowControl/>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rPr>
              <w:t>1.7</w:t>
            </w:r>
          </w:p>
        </w:tc>
        <w:tc>
          <w:tcPr>
            <w:tcW w:w="970" w:type="dxa"/>
            <w:tcBorders>
              <w:top w:val="single" w:color="000000" w:sz="4" w:space="0"/>
              <w:left w:val="single" w:color="000000" w:sz="4" w:space="0"/>
              <w:bottom w:val="single" w:color="000000" w:sz="4" w:space="0"/>
              <w:right w:val="single" w:color="000000" w:sz="4" w:space="0"/>
            </w:tcBorders>
            <w:vAlign w:val="center"/>
          </w:tcPr>
          <w:p w14:paraId="24F7B187">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805" w:type="dxa"/>
            <w:tcBorders>
              <w:top w:val="single" w:color="000000" w:sz="4" w:space="0"/>
              <w:left w:val="single" w:color="000000" w:sz="4" w:space="0"/>
              <w:bottom w:val="single" w:color="000000" w:sz="4" w:space="0"/>
              <w:right w:val="single" w:color="000000" w:sz="4" w:space="0"/>
            </w:tcBorders>
            <w:vAlign w:val="center"/>
          </w:tcPr>
          <w:p w14:paraId="5DE075C7">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31" w:type="dxa"/>
            <w:tcBorders>
              <w:top w:val="single" w:color="000000" w:sz="4" w:space="0"/>
              <w:left w:val="single" w:color="000000" w:sz="4" w:space="0"/>
              <w:bottom w:val="single" w:color="000000" w:sz="4" w:space="0"/>
              <w:right w:val="single" w:color="000000" w:sz="4" w:space="0"/>
            </w:tcBorders>
            <w:vAlign w:val="center"/>
          </w:tcPr>
          <w:p w14:paraId="27560733">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18" w:type="dxa"/>
            <w:vMerge w:val="continue"/>
            <w:tcBorders>
              <w:top w:val="single" w:color="000000" w:sz="4" w:space="0"/>
              <w:left w:val="single" w:color="000000" w:sz="4" w:space="0"/>
              <w:bottom w:val="single" w:color="000000" w:sz="4" w:space="0"/>
              <w:right w:val="single" w:color="000000" w:sz="4" w:space="0"/>
            </w:tcBorders>
            <w:vAlign w:val="center"/>
          </w:tcPr>
          <w:p w14:paraId="13D0440B">
            <w:pPr>
              <w:rPr>
                <w:rFonts w:hint="eastAsia" w:ascii="黑体" w:hAnsi="黑体" w:eastAsia="黑体" w:cs="黑体"/>
                <w:i/>
                <w:iCs/>
                <w:color w:val="000000"/>
                <w:sz w:val="18"/>
                <w:szCs w:val="18"/>
                <w:u w:val="none"/>
              </w:rPr>
            </w:pPr>
          </w:p>
        </w:tc>
      </w:tr>
      <w:tr w14:paraId="69339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41E080AE">
            <w:pPr>
              <w:jc w:val="cente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038A958E">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925" w:type="dxa"/>
            <w:tcBorders>
              <w:top w:val="single" w:color="000000" w:sz="4" w:space="0"/>
              <w:left w:val="single" w:color="000000" w:sz="4" w:space="0"/>
              <w:bottom w:val="single" w:color="000000" w:sz="4" w:space="0"/>
              <w:right w:val="single" w:color="000000" w:sz="4" w:space="0"/>
            </w:tcBorders>
            <w:vAlign w:val="center"/>
          </w:tcPr>
          <w:p w14:paraId="2978B788">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25" w:type="dxa"/>
            <w:tcBorders>
              <w:top w:val="single" w:color="000000" w:sz="4" w:space="0"/>
              <w:left w:val="single" w:color="000000" w:sz="4" w:space="0"/>
              <w:bottom w:val="single" w:color="000000" w:sz="4" w:space="0"/>
              <w:right w:val="single" w:color="000000" w:sz="4" w:space="0"/>
            </w:tcBorders>
            <w:vAlign w:val="center"/>
          </w:tcPr>
          <w:p w14:paraId="525E3FE2">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614" w:type="dxa"/>
            <w:gridSpan w:val="3"/>
            <w:tcBorders>
              <w:top w:val="single" w:color="000000" w:sz="4" w:space="0"/>
              <w:left w:val="single" w:color="000000" w:sz="4" w:space="0"/>
              <w:bottom w:val="single" w:color="000000" w:sz="4" w:space="0"/>
              <w:right w:val="single" w:color="000000" w:sz="4" w:space="0"/>
            </w:tcBorders>
            <w:vAlign w:val="center"/>
          </w:tcPr>
          <w:p w14:paraId="0CA0E3DA">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70" w:type="dxa"/>
            <w:tcBorders>
              <w:top w:val="single" w:color="000000" w:sz="4" w:space="0"/>
              <w:left w:val="single" w:color="000000" w:sz="4" w:space="0"/>
              <w:bottom w:val="single" w:color="000000" w:sz="4" w:space="0"/>
              <w:right w:val="single" w:color="000000" w:sz="4" w:space="0"/>
            </w:tcBorders>
            <w:vAlign w:val="center"/>
          </w:tcPr>
          <w:p w14:paraId="0A395832">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05" w:type="dxa"/>
            <w:tcBorders>
              <w:top w:val="single" w:color="000000" w:sz="4" w:space="0"/>
              <w:left w:val="single" w:color="000000" w:sz="4" w:space="0"/>
              <w:bottom w:val="single" w:color="000000" w:sz="4" w:space="0"/>
              <w:right w:val="single" w:color="000000" w:sz="4" w:space="0"/>
            </w:tcBorders>
            <w:vAlign w:val="center"/>
          </w:tcPr>
          <w:p w14:paraId="70DB7B78">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31" w:type="dxa"/>
            <w:tcBorders>
              <w:top w:val="single" w:color="000000" w:sz="4" w:space="0"/>
              <w:left w:val="single" w:color="000000" w:sz="4" w:space="0"/>
              <w:bottom w:val="single" w:color="000000" w:sz="4" w:space="0"/>
              <w:right w:val="single" w:color="000000" w:sz="4" w:space="0"/>
            </w:tcBorders>
            <w:vAlign w:val="center"/>
          </w:tcPr>
          <w:p w14:paraId="0A5B4236">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18" w:type="dxa"/>
            <w:vMerge w:val="continue"/>
            <w:tcBorders>
              <w:top w:val="single" w:color="000000" w:sz="4" w:space="0"/>
              <w:left w:val="single" w:color="000000" w:sz="4" w:space="0"/>
              <w:bottom w:val="single" w:color="000000" w:sz="4" w:space="0"/>
              <w:right w:val="single" w:color="000000" w:sz="4" w:space="0"/>
            </w:tcBorders>
            <w:vAlign w:val="center"/>
          </w:tcPr>
          <w:p w14:paraId="5D757335">
            <w:pPr>
              <w:rPr>
                <w:rFonts w:hint="eastAsia" w:ascii="黑体" w:hAnsi="黑体" w:eastAsia="黑体" w:cs="黑体"/>
                <w:i/>
                <w:iCs/>
                <w:color w:val="000000"/>
                <w:sz w:val="18"/>
                <w:szCs w:val="18"/>
                <w:u w:val="none"/>
              </w:rPr>
            </w:pPr>
          </w:p>
        </w:tc>
      </w:tr>
      <w:tr w14:paraId="7CA0A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27B9A917">
            <w:pPr>
              <w:jc w:val="cente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769D3E8F">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925" w:type="dxa"/>
            <w:tcBorders>
              <w:top w:val="single" w:color="000000" w:sz="4" w:space="0"/>
              <w:left w:val="single" w:color="000000" w:sz="4" w:space="0"/>
              <w:bottom w:val="single" w:color="000000" w:sz="4" w:space="0"/>
              <w:right w:val="single" w:color="000000" w:sz="4" w:space="0"/>
            </w:tcBorders>
            <w:vAlign w:val="center"/>
          </w:tcPr>
          <w:p w14:paraId="7766B4C6">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25" w:type="dxa"/>
            <w:tcBorders>
              <w:top w:val="single" w:color="000000" w:sz="4" w:space="0"/>
              <w:left w:val="single" w:color="000000" w:sz="4" w:space="0"/>
              <w:bottom w:val="single" w:color="000000" w:sz="4" w:space="0"/>
              <w:right w:val="single" w:color="000000" w:sz="4" w:space="0"/>
            </w:tcBorders>
            <w:vAlign w:val="center"/>
          </w:tcPr>
          <w:p w14:paraId="37A840AA">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614" w:type="dxa"/>
            <w:gridSpan w:val="3"/>
            <w:tcBorders>
              <w:top w:val="single" w:color="000000" w:sz="4" w:space="0"/>
              <w:left w:val="single" w:color="000000" w:sz="4" w:space="0"/>
              <w:bottom w:val="single" w:color="000000" w:sz="4" w:space="0"/>
              <w:right w:val="single" w:color="000000" w:sz="4" w:space="0"/>
            </w:tcBorders>
            <w:vAlign w:val="center"/>
          </w:tcPr>
          <w:p w14:paraId="4D5CD74F">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70" w:type="dxa"/>
            <w:tcBorders>
              <w:top w:val="single" w:color="000000" w:sz="4" w:space="0"/>
              <w:left w:val="single" w:color="000000" w:sz="4" w:space="0"/>
              <w:bottom w:val="single" w:color="000000" w:sz="4" w:space="0"/>
              <w:right w:val="single" w:color="000000" w:sz="4" w:space="0"/>
            </w:tcBorders>
            <w:vAlign w:val="center"/>
          </w:tcPr>
          <w:p w14:paraId="2095725B">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05" w:type="dxa"/>
            <w:tcBorders>
              <w:top w:val="single" w:color="000000" w:sz="4" w:space="0"/>
              <w:left w:val="single" w:color="000000" w:sz="4" w:space="0"/>
              <w:bottom w:val="single" w:color="000000" w:sz="4" w:space="0"/>
              <w:right w:val="single" w:color="000000" w:sz="4" w:space="0"/>
            </w:tcBorders>
            <w:vAlign w:val="center"/>
          </w:tcPr>
          <w:p w14:paraId="5754F181">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31" w:type="dxa"/>
            <w:tcBorders>
              <w:top w:val="single" w:color="000000" w:sz="4" w:space="0"/>
              <w:left w:val="single" w:color="000000" w:sz="4" w:space="0"/>
              <w:bottom w:val="single" w:color="000000" w:sz="4" w:space="0"/>
              <w:right w:val="single" w:color="000000" w:sz="4" w:space="0"/>
            </w:tcBorders>
            <w:vAlign w:val="center"/>
          </w:tcPr>
          <w:p w14:paraId="399B861A">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18" w:type="dxa"/>
            <w:vMerge w:val="continue"/>
            <w:tcBorders>
              <w:top w:val="single" w:color="000000" w:sz="4" w:space="0"/>
              <w:left w:val="single" w:color="000000" w:sz="4" w:space="0"/>
              <w:bottom w:val="single" w:color="000000" w:sz="4" w:space="0"/>
              <w:right w:val="single" w:color="000000" w:sz="4" w:space="0"/>
            </w:tcBorders>
            <w:vAlign w:val="center"/>
          </w:tcPr>
          <w:p w14:paraId="3E31A26B">
            <w:pPr>
              <w:rPr>
                <w:rFonts w:hint="eastAsia" w:ascii="黑体" w:hAnsi="黑体" w:eastAsia="黑体" w:cs="黑体"/>
                <w:i/>
                <w:iCs/>
                <w:color w:val="000000"/>
                <w:sz w:val="18"/>
                <w:szCs w:val="18"/>
                <w:u w:val="none"/>
              </w:rPr>
            </w:pPr>
          </w:p>
        </w:tc>
      </w:tr>
      <w:tr w14:paraId="6A25B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7777B47F">
            <w:pPr>
              <w:jc w:val="cente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5209DC9F">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925" w:type="dxa"/>
            <w:tcBorders>
              <w:top w:val="single" w:color="000000" w:sz="4" w:space="0"/>
              <w:left w:val="single" w:color="000000" w:sz="4" w:space="0"/>
              <w:bottom w:val="single" w:color="000000" w:sz="4" w:space="0"/>
              <w:right w:val="single" w:color="000000" w:sz="4" w:space="0"/>
            </w:tcBorders>
            <w:vAlign w:val="center"/>
          </w:tcPr>
          <w:p w14:paraId="182DC58D">
            <w:pPr>
              <w:jc w:val="center"/>
              <w:rPr>
                <w:rFonts w:hint="eastAsia" w:ascii="微软雅黑" w:hAnsi="微软雅黑" w:eastAsia="微软雅黑" w:cs="微软雅黑"/>
                <w:i/>
                <w:iCs/>
                <w:color w:val="000000"/>
                <w:sz w:val="16"/>
                <w:szCs w:val="16"/>
                <w:u w:val="none"/>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126ECE7C">
            <w:pPr>
              <w:jc w:val="center"/>
              <w:rPr>
                <w:rFonts w:hint="eastAsia" w:ascii="微软雅黑" w:hAnsi="微软雅黑" w:eastAsia="微软雅黑" w:cs="微软雅黑"/>
                <w:i/>
                <w:iCs/>
                <w:color w:val="000000"/>
                <w:sz w:val="16"/>
                <w:szCs w:val="16"/>
                <w:u w:val="none"/>
              </w:rPr>
            </w:pPr>
          </w:p>
        </w:tc>
        <w:tc>
          <w:tcPr>
            <w:tcW w:w="2614" w:type="dxa"/>
            <w:gridSpan w:val="3"/>
            <w:tcBorders>
              <w:top w:val="single" w:color="000000" w:sz="4" w:space="0"/>
              <w:left w:val="single" w:color="000000" w:sz="4" w:space="0"/>
              <w:bottom w:val="single" w:color="000000" w:sz="4" w:space="0"/>
              <w:right w:val="single" w:color="000000" w:sz="4" w:space="0"/>
            </w:tcBorders>
            <w:vAlign w:val="center"/>
          </w:tcPr>
          <w:p w14:paraId="675F65E3">
            <w:pPr>
              <w:jc w:val="center"/>
              <w:rPr>
                <w:rFonts w:hint="eastAsia" w:ascii="微软雅黑" w:hAnsi="微软雅黑" w:eastAsia="微软雅黑" w:cs="微软雅黑"/>
                <w:i/>
                <w:iCs/>
                <w:color w:val="000000"/>
                <w:sz w:val="16"/>
                <w:szCs w:val="16"/>
                <w:u w:val="none"/>
              </w:rPr>
            </w:pPr>
          </w:p>
        </w:tc>
        <w:tc>
          <w:tcPr>
            <w:tcW w:w="970" w:type="dxa"/>
            <w:tcBorders>
              <w:top w:val="single" w:color="000000" w:sz="4" w:space="0"/>
              <w:left w:val="single" w:color="000000" w:sz="4" w:space="0"/>
              <w:bottom w:val="single" w:color="000000" w:sz="4" w:space="0"/>
              <w:right w:val="single" w:color="000000" w:sz="4" w:space="0"/>
            </w:tcBorders>
            <w:vAlign w:val="center"/>
          </w:tcPr>
          <w:p w14:paraId="6EE55ABB">
            <w:pPr>
              <w:jc w:val="center"/>
              <w:rPr>
                <w:rFonts w:hint="eastAsia" w:ascii="微软雅黑" w:hAnsi="微软雅黑" w:eastAsia="微软雅黑" w:cs="微软雅黑"/>
                <w:i/>
                <w:iCs/>
                <w:color w:val="000000"/>
                <w:sz w:val="16"/>
                <w:szCs w:val="16"/>
                <w:u w:val="none"/>
              </w:rPr>
            </w:pPr>
          </w:p>
        </w:tc>
        <w:tc>
          <w:tcPr>
            <w:tcW w:w="805" w:type="dxa"/>
            <w:tcBorders>
              <w:top w:val="single" w:color="000000" w:sz="4" w:space="0"/>
              <w:left w:val="single" w:color="000000" w:sz="4" w:space="0"/>
              <w:bottom w:val="single" w:color="000000" w:sz="4" w:space="0"/>
              <w:right w:val="single" w:color="000000" w:sz="4" w:space="0"/>
            </w:tcBorders>
            <w:vAlign w:val="center"/>
          </w:tcPr>
          <w:p w14:paraId="4D84AD90">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31" w:type="dxa"/>
            <w:tcBorders>
              <w:top w:val="single" w:color="000000" w:sz="4" w:space="0"/>
              <w:left w:val="single" w:color="000000" w:sz="4" w:space="0"/>
              <w:bottom w:val="single" w:color="000000" w:sz="4" w:space="0"/>
              <w:right w:val="single" w:color="000000" w:sz="4" w:space="0"/>
            </w:tcBorders>
            <w:vAlign w:val="center"/>
          </w:tcPr>
          <w:p w14:paraId="46A1A153">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18" w:type="dxa"/>
            <w:vMerge w:val="continue"/>
            <w:tcBorders>
              <w:top w:val="single" w:color="000000" w:sz="4" w:space="0"/>
              <w:left w:val="single" w:color="000000" w:sz="4" w:space="0"/>
              <w:bottom w:val="single" w:color="000000" w:sz="4" w:space="0"/>
              <w:right w:val="single" w:color="000000" w:sz="4" w:space="0"/>
            </w:tcBorders>
            <w:vAlign w:val="center"/>
          </w:tcPr>
          <w:p w14:paraId="31B7E61F">
            <w:pPr>
              <w:rPr>
                <w:rFonts w:hint="eastAsia" w:ascii="黑体" w:hAnsi="黑体" w:eastAsia="黑体" w:cs="黑体"/>
                <w:i/>
                <w:iCs/>
                <w:color w:val="000000"/>
                <w:sz w:val="18"/>
                <w:szCs w:val="18"/>
                <w:u w:val="none"/>
              </w:rPr>
            </w:pPr>
          </w:p>
        </w:tc>
      </w:tr>
      <w:tr w14:paraId="0BEC1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restart"/>
            <w:tcBorders>
              <w:top w:val="single" w:color="000000" w:sz="4" w:space="0"/>
              <w:left w:val="single" w:color="000000" w:sz="4" w:space="0"/>
              <w:bottom w:val="single" w:color="000000" w:sz="4" w:space="0"/>
              <w:right w:val="single" w:color="000000" w:sz="4" w:space="0"/>
            </w:tcBorders>
            <w:vAlign w:val="center"/>
          </w:tcPr>
          <w:p w14:paraId="00DAA0EA">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953" w:type="dxa"/>
            <w:tcBorders>
              <w:top w:val="single" w:color="000000" w:sz="4" w:space="0"/>
              <w:left w:val="single" w:color="000000" w:sz="4" w:space="0"/>
              <w:bottom w:val="single" w:color="000000" w:sz="4" w:space="0"/>
              <w:right w:val="single" w:color="000000" w:sz="4" w:space="0"/>
            </w:tcBorders>
            <w:vAlign w:val="center"/>
          </w:tcPr>
          <w:p w14:paraId="1E6B84AD">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925" w:type="dxa"/>
            <w:tcBorders>
              <w:top w:val="single" w:color="000000" w:sz="4" w:space="0"/>
              <w:left w:val="single" w:color="000000" w:sz="4" w:space="0"/>
              <w:bottom w:val="single" w:color="000000" w:sz="4" w:space="0"/>
              <w:right w:val="single" w:color="000000" w:sz="4" w:space="0"/>
            </w:tcBorders>
            <w:vAlign w:val="center"/>
          </w:tcPr>
          <w:p w14:paraId="1CBBCF88">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925" w:type="dxa"/>
            <w:tcBorders>
              <w:top w:val="single" w:color="000000" w:sz="4" w:space="0"/>
              <w:left w:val="single" w:color="000000" w:sz="4" w:space="0"/>
              <w:bottom w:val="single" w:color="000000" w:sz="4" w:space="0"/>
              <w:right w:val="single" w:color="000000" w:sz="4" w:space="0"/>
            </w:tcBorders>
            <w:vAlign w:val="center"/>
          </w:tcPr>
          <w:p w14:paraId="5A6C3F66">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892" w:type="dxa"/>
            <w:tcBorders>
              <w:top w:val="single" w:color="000000" w:sz="4" w:space="0"/>
              <w:left w:val="single" w:color="000000" w:sz="4" w:space="0"/>
              <w:bottom w:val="single" w:color="000000" w:sz="4" w:space="0"/>
              <w:right w:val="single" w:color="000000" w:sz="4" w:space="0"/>
            </w:tcBorders>
            <w:vAlign w:val="center"/>
          </w:tcPr>
          <w:p w14:paraId="02FF177A">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909" w:type="dxa"/>
            <w:tcBorders>
              <w:top w:val="single" w:color="000000" w:sz="4" w:space="0"/>
              <w:left w:val="single" w:color="000000" w:sz="4" w:space="0"/>
              <w:bottom w:val="single" w:color="000000" w:sz="4" w:space="0"/>
              <w:right w:val="single" w:color="000000" w:sz="4" w:space="0"/>
            </w:tcBorders>
            <w:vAlign w:val="center"/>
          </w:tcPr>
          <w:p w14:paraId="14B2F0F7">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813" w:type="dxa"/>
            <w:tcBorders>
              <w:top w:val="single" w:color="000000" w:sz="4" w:space="0"/>
              <w:left w:val="single" w:color="000000" w:sz="4" w:space="0"/>
              <w:bottom w:val="single" w:color="000000" w:sz="4" w:space="0"/>
              <w:right w:val="single" w:color="000000" w:sz="4" w:space="0"/>
            </w:tcBorders>
            <w:vAlign w:val="center"/>
          </w:tcPr>
          <w:p w14:paraId="54D327C3">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970" w:type="dxa"/>
            <w:tcBorders>
              <w:top w:val="single" w:color="000000" w:sz="4" w:space="0"/>
              <w:left w:val="single" w:color="000000" w:sz="4" w:space="0"/>
              <w:bottom w:val="single" w:color="000000" w:sz="4" w:space="0"/>
              <w:right w:val="single" w:color="000000" w:sz="4" w:space="0"/>
            </w:tcBorders>
            <w:vAlign w:val="center"/>
          </w:tcPr>
          <w:p w14:paraId="12937B4A">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805" w:type="dxa"/>
            <w:tcBorders>
              <w:top w:val="single" w:color="000000" w:sz="4" w:space="0"/>
              <w:left w:val="single" w:color="000000" w:sz="4" w:space="0"/>
              <w:bottom w:val="single" w:color="000000" w:sz="4" w:space="0"/>
              <w:right w:val="single" w:color="000000" w:sz="4" w:space="0"/>
            </w:tcBorders>
            <w:vAlign w:val="center"/>
          </w:tcPr>
          <w:p w14:paraId="37B55624">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731" w:type="dxa"/>
            <w:tcBorders>
              <w:top w:val="single" w:color="000000" w:sz="4" w:space="0"/>
              <w:left w:val="single" w:color="000000" w:sz="4" w:space="0"/>
              <w:bottom w:val="single" w:color="000000" w:sz="4" w:space="0"/>
              <w:right w:val="single" w:color="000000" w:sz="4" w:space="0"/>
            </w:tcBorders>
            <w:vAlign w:val="center"/>
          </w:tcPr>
          <w:p w14:paraId="14DCD432">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918" w:type="dxa"/>
            <w:tcBorders>
              <w:top w:val="single" w:color="000000" w:sz="4" w:space="0"/>
              <w:left w:val="single" w:color="000000" w:sz="4" w:space="0"/>
              <w:bottom w:val="single" w:color="000000" w:sz="4" w:space="0"/>
              <w:right w:val="single" w:color="000000" w:sz="4" w:space="0"/>
            </w:tcBorders>
            <w:vAlign w:val="center"/>
          </w:tcPr>
          <w:p w14:paraId="6C278757">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7D30E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54914655">
            <w:pPr>
              <w:jc w:val="center"/>
              <w:rPr>
                <w:rFonts w:hint="eastAsia" w:ascii="宋体" w:hAnsi="宋体" w:eastAsia="宋体" w:cs="宋体"/>
                <w:i w:val="0"/>
                <w:iCs w:val="0"/>
                <w:color w:val="000000"/>
                <w:sz w:val="18"/>
                <w:szCs w:val="18"/>
                <w:u w:val="none"/>
              </w:rPr>
            </w:pPr>
          </w:p>
        </w:tc>
        <w:tc>
          <w:tcPr>
            <w:tcW w:w="953" w:type="dxa"/>
            <w:vMerge w:val="restart"/>
            <w:tcBorders>
              <w:top w:val="single" w:color="000000" w:sz="4" w:space="0"/>
              <w:left w:val="single" w:color="000000" w:sz="4" w:space="0"/>
              <w:bottom w:val="single" w:color="000000" w:sz="4" w:space="0"/>
              <w:right w:val="single" w:color="000000" w:sz="4" w:space="0"/>
            </w:tcBorders>
            <w:vAlign w:val="center"/>
          </w:tcPr>
          <w:p w14:paraId="366FC5CF">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925" w:type="dxa"/>
            <w:vMerge w:val="restart"/>
            <w:tcBorders>
              <w:top w:val="single" w:color="000000" w:sz="4" w:space="0"/>
              <w:left w:val="single" w:color="000000" w:sz="4" w:space="0"/>
              <w:bottom w:val="single" w:color="000000" w:sz="4" w:space="0"/>
              <w:right w:val="single" w:color="000000" w:sz="4" w:space="0"/>
            </w:tcBorders>
            <w:vAlign w:val="center"/>
          </w:tcPr>
          <w:p w14:paraId="27113926">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925" w:type="dxa"/>
            <w:tcBorders>
              <w:top w:val="single" w:color="000000" w:sz="4" w:space="0"/>
              <w:left w:val="single" w:color="000000" w:sz="4" w:space="0"/>
              <w:bottom w:val="single" w:color="000000" w:sz="4" w:space="0"/>
              <w:right w:val="single" w:color="000000" w:sz="4" w:space="0"/>
            </w:tcBorders>
            <w:vAlign w:val="center"/>
          </w:tcPr>
          <w:p w14:paraId="54E85A14">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足额保障率</w:t>
            </w:r>
          </w:p>
        </w:tc>
        <w:tc>
          <w:tcPr>
            <w:tcW w:w="892" w:type="dxa"/>
            <w:tcBorders>
              <w:top w:val="single" w:color="000000" w:sz="4" w:space="0"/>
              <w:left w:val="single" w:color="000000" w:sz="4" w:space="0"/>
              <w:bottom w:val="single" w:color="000000" w:sz="4" w:space="0"/>
              <w:right w:val="single" w:color="000000" w:sz="4" w:space="0"/>
            </w:tcBorders>
            <w:vAlign w:val="center"/>
          </w:tcPr>
          <w:p w14:paraId="3178823B">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09" w:type="dxa"/>
            <w:tcBorders>
              <w:top w:val="single" w:color="000000" w:sz="4" w:space="0"/>
              <w:left w:val="single" w:color="000000" w:sz="4" w:space="0"/>
              <w:bottom w:val="single" w:color="000000" w:sz="4" w:space="0"/>
              <w:right w:val="single" w:color="000000" w:sz="4" w:space="0"/>
            </w:tcBorders>
            <w:vAlign w:val="center"/>
          </w:tcPr>
          <w:p w14:paraId="351FDBD6">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813" w:type="dxa"/>
            <w:tcBorders>
              <w:top w:val="single" w:color="000000" w:sz="4" w:space="0"/>
              <w:left w:val="single" w:color="000000" w:sz="4" w:space="0"/>
              <w:bottom w:val="single" w:color="000000" w:sz="4" w:space="0"/>
              <w:right w:val="single" w:color="000000" w:sz="4" w:space="0"/>
            </w:tcBorders>
            <w:vAlign w:val="center"/>
          </w:tcPr>
          <w:p w14:paraId="2BC6E903">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70" w:type="dxa"/>
            <w:tcBorders>
              <w:top w:val="single" w:color="000000" w:sz="4" w:space="0"/>
              <w:left w:val="single" w:color="000000" w:sz="4" w:space="0"/>
              <w:bottom w:val="single" w:color="000000" w:sz="4" w:space="0"/>
              <w:right w:val="single" w:color="000000" w:sz="4" w:space="0"/>
            </w:tcBorders>
            <w:vAlign w:val="center"/>
          </w:tcPr>
          <w:p w14:paraId="007BAA2A">
            <w:pPr>
              <w:jc w:val="center"/>
              <w:rPr>
                <w:rFonts w:hint="eastAsia" w:ascii="微软雅黑" w:hAnsi="微软雅黑" w:eastAsia="微软雅黑" w:cs="微软雅黑"/>
                <w:i/>
                <w:iCs/>
                <w:color w:val="000000"/>
                <w:sz w:val="16"/>
                <w:szCs w:val="16"/>
                <w:u w:val="none"/>
              </w:rPr>
            </w:pPr>
          </w:p>
        </w:tc>
        <w:tc>
          <w:tcPr>
            <w:tcW w:w="805" w:type="dxa"/>
            <w:tcBorders>
              <w:top w:val="single" w:color="000000" w:sz="4" w:space="0"/>
              <w:left w:val="single" w:color="000000" w:sz="4" w:space="0"/>
              <w:bottom w:val="single" w:color="000000" w:sz="4" w:space="0"/>
              <w:right w:val="single" w:color="000000" w:sz="4" w:space="0"/>
            </w:tcBorders>
            <w:vAlign w:val="center"/>
          </w:tcPr>
          <w:p w14:paraId="35670A7A">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22.5</w:t>
            </w:r>
          </w:p>
        </w:tc>
        <w:tc>
          <w:tcPr>
            <w:tcW w:w="731" w:type="dxa"/>
            <w:tcBorders>
              <w:top w:val="single" w:color="000000" w:sz="4" w:space="0"/>
              <w:left w:val="single" w:color="000000" w:sz="4" w:space="0"/>
              <w:bottom w:val="single" w:color="000000" w:sz="4" w:space="0"/>
              <w:right w:val="single" w:color="000000" w:sz="4" w:space="0"/>
            </w:tcBorders>
            <w:vAlign w:val="center"/>
          </w:tcPr>
          <w:p w14:paraId="007DF8AA">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22.5</w:t>
            </w:r>
          </w:p>
        </w:tc>
        <w:tc>
          <w:tcPr>
            <w:tcW w:w="918" w:type="dxa"/>
            <w:tcBorders>
              <w:top w:val="single" w:color="000000" w:sz="4" w:space="0"/>
              <w:left w:val="single" w:color="000000" w:sz="4" w:space="0"/>
              <w:bottom w:val="single" w:color="000000" w:sz="4" w:space="0"/>
              <w:right w:val="single" w:color="000000" w:sz="4" w:space="0"/>
            </w:tcBorders>
            <w:vAlign w:val="center"/>
          </w:tcPr>
          <w:p w14:paraId="7BE66627">
            <w:pPr>
              <w:jc w:val="center"/>
              <w:rPr>
                <w:rFonts w:hint="eastAsia" w:ascii="微软雅黑" w:hAnsi="微软雅黑" w:eastAsia="微软雅黑" w:cs="微软雅黑"/>
                <w:i/>
                <w:iCs/>
                <w:color w:val="000000"/>
                <w:sz w:val="16"/>
                <w:szCs w:val="16"/>
                <w:u w:val="none"/>
              </w:rPr>
            </w:pPr>
          </w:p>
        </w:tc>
      </w:tr>
      <w:tr w14:paraId="4E67B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358D09B0">
            <w:pPr>
              <w:jc w:val="center"/>
              <w:rPr>
                <w:rFonts w:hint="eastAsia" w:ascii="宋体" w:hAnsi="宋体" w:eastAsia="宋体" w:cs="宋体"/>
                <w:i w:val="0"/>
                <w:iCs w:val="0"/>
                <w:color w:val="000000"/>
                <w:sz w:val="18"/>
                <w:szCs w:val="18"/>
                <w:u w:val="none"/>
              </w:rPr>
            </w:pPr>
          </w:p>
        </w:tc>
        <w:tc>
          <w:tcPr>
            <w:tcW w:w="953" w:type="dxa"/>
            <w:vMerge w:val="continue"/>
            <w:tcBorders>
              <w:top w:val="single" w:color="000000" w:sz="4" w:space="0"/>
              <w:left w:val="single" w:color="000000" w:sz="4" w:space="0"/>
              <w:bottom w:val="single" w:color="000000" w:sz="4" w:space="0"/>
              <w:right w:val="single" w:color="000000" w:sz="4" w:space="0"/>
            </w:tcBorders>
            <w:vAlign w:val="center"/>
          </w:tcPr>
          <w:p w14:paraId="382BBDB9">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vAlign w:val="center"/>
          </w:tcPr>
          <w:p w14:paraId="50D4C6FA">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4D28C950">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科目调整次数</w:t>
            </w:r>
          </w:p>
        </w:tc>
        <w:tc>
          <w:tcPr>
            <w:tcW w:w="892" w:type="dxa"/>
            <w:tcBorders>
              <w:top w:val="single" w:color="000000" w:sz="4" w:space="0"/>
              <w:left w:val="single" w:color="000000" w:sz="4" w:space="0"/>
              <w:bottom w:val="single" w:color="000000" w:sz="4" w:space="0"/>
              <w:right w:val="single" w:color="000000" w:sz="4" w:space="0"/>
            </w:tcBorders>
            <w:vAlign w:val="center"/>
          </w:tcPr>
          <w:p w14:paraId="69EB3D95">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09" w:type="dxa"/>
            <w:tcBorders>
              <w:top w:val="single" w:color="000000" w:sz="4" w:space="0"/>
              <w:left w:val="single" w:color="000000" w:sz="4" w:space="0"/>
              <w:bottom w:val="single" w:color="000000" w:sz="4" w:space="0"/>
              <w:right w:val="single" w:color="000000" w:sz="4" w:space="0"/>
            </w:tcBorders>
            <w:vAlign w:val="center"/>
          </w:tcPr>
          <w:p w14:paraId="3413B5E4">
            <w:pPr>
              <w:widowControl/>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rPr>
              <w:t>10</w:t>
            </w:r>
          </w:p>
        </w:tc>
        <w:tc>
          <w:tcPr>
            <w:tcW w:w="813" w:type="dxa"/>
            <w:tcBorders>
              <w:top w:val="single" w:color="000000" w:sz="4" w:space="0"/>
              <w:left w:val="single" w:color="000000" w:sz="4" w:space="0"/>
              <w:bottom w:val="single" w:color="000000" w:sz="4" w:space="0"/>
              <w:right w:val="single" w:color="000000" w:sz="4" w:space="0"/>
            </w:tcBorders>
            <w:vAlign w:val="center"/>
          </w:tcPr>
          <w:p w14:paraId="6AFB56EA">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次</w:t>
            </w:r>
          </w:p>
        </w:tc>
        <w:tc>
          <w:tcPr>
            <w:tcW w:w="970" w:type="dxa"/>
            <w:tcBorders>
              <w:top w:val="single" w:color="000000" w:sz="4" w:space="0"/>
              <w:left w:val="single" w:color="000000" w:sz="4" w:space="0"/>
              <w:bottom w:val="single" w:color="000000" w:sz="4" w:space="0"/>
              <w:right w:val="single" w:color="000000" w:sz="4" w:space="0"/>
            </w:tcBorders>
            <w:vAlign w:val="center"/>
          </w:tcPr>
          <w:p w14:paraId="28B2F838">
            <w:pPr>
              <w:jc w:val="center"/>
              <w:rPr>
                <w:rFonts w:hint="eastAsia" w:ascii="微软雅黑" w:hAnsi="微软雅黑" w:eastAsia="微软雅黑" w:cs="微软雅黑"/>
                <w:i/>
                <w:iCs/>
                <w:color w:val="000000"/>
                <w:sz w:val="16"/>
                <w:szCs w:val="16"/>
                <w:u w:val="none"/>
              </w:rPr>
            </w:pPr>
          </w:p>
        </w:tc>
        <w:tc>
          <w:tcPr>
            <w:tcW w:w="805" w:type="dxa"/>
            <w:tcBorders>
              <w:top w:val="single" w:color="000000" w:sz="4" w:space="0"/>
              <w:left w:val="single" w:color="000000" w:sz="4" w:space="0"/>
              <w:bottom w:val="single" w:color="000000" w:sz="4" w:space="0"/>
              <w:right w:val="single" w:color="000000" w:sz="4" w:space="0"/>
            </w:tcBorders>
            <w:vAlign w:val="center"/>
          </w:tcPr>
          <w:p w14:paraId="1CDA86E1">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22.5</w:t>
            </w:r>
          </w:p>
        </w:tc>
        <w:tc>
          <w:tcPr>
            <w:tcW w:w="731" w:type="dxa"/>
            <w:tcBorders>
              <w:top w:val="single" w:color="000000" w:sz="4" w:space="0"/>
              <w:left w:val="single" w:color="000000" w:sz="4" w:space="0"/>
              <w:bottom w:val="single" w:color="000000" w:sz="4" w:space="0"/>
              <w:right w:val="single" w:color="000000" w:sz="4" w:space="0"/>
            </w:tcBorders>
            <w:vAlign w:val="center"/>
          </w:tcPr>
          <w:p w14:paraId="777037CE">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19</w:t>
            </w:r>
          </w:p>
        </w:tc>
        <w:tc>
          <w:tcPr>
            <w:tcW w:w="918" w:type="dxa"/>
            <w:tcBorders>
              <w:top w:val="single" w:color="000000" w:sz="4" w:space="0"/>
              <w:left w:val="single" w:color="000000" w:sz="4" w:space="0"/>
              <w:bottom w:val="single" w:color="000000" w:sz="4" w:space="0"/>
              <w:right w:val="single" w:color="000000" w:sz="4" w:space="0"/>
            </w:tcBorders>
            <w:vAlign w:val="center"/>
          </w:tcPr>
          <w:p w14:paraId="7DFB400B">
            <w:pPr>
              <w:jc w:val="center"/>
              <w:rPr>
                <w:rFonts w:hint="eastAsia" w:ascii="微软雅黑" w:hAnsi="微软雅黑" w:eastAsia="微软雅黑" w:cs="微软雅黑"/>
                <w:i/>
                <w:iCs/>
                <w:color w:val="000000"/>
                <w:sz w:val="16"/>
                <w:szCs w:val="16"/>
                <w:u w:val="none"/>
              </w:rPr>
            </w:pPr>
          </w:p>
        </w:tc>
      </w:tr>
      <w:tr w14:paraId="4D6A8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4F3BF0FC">
            <w:pPr>
              <w:jc w:val="center"/>
              <w:rPr>
                <w:rFonts w:hint="eastAsia" w:ascii="宋体" w:hAnsi="宋体" w:eastAsia="宋体" w:cs="宋体"/>
                <w:i w:val="0"/>
                <w:iCs w:val="0"/>
                <w:color w:val="000000"/>
                <w:sz w:val="18"/>
                <w:szCs w:val="18"/>
                <w:u w:val="none"/>
              </w:rPr>
            </w:pPr>
          </w:p>
        </w:tc>
        <w:tc>
          <w:tcPr>
            <w:tcW w:w="953" w:type="dxa"/>
            <w:vMerge w:val="continue"/>
            <w:tcBorders>
              <w:top w:val="single" w:color="000000" w:sz="4" w:space="0"/>
              <w:left w:val="single" w:color="000000" w:sz="4" w:space="0"/>
              <w:bottom w:val="single" w:color="000000" w:sz="4" w:space="0"/>
              <w:right w:val="single" w:color="000000" w:sz="4" w:space="0"/>
            </w:tcBorders>
            <w:vAlign w:val="center"/>
          </w:tcPr>
          <w:p w14:paraId="4ECF58C3">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41D2B852">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925" w:type="dxa"/>
            <w:tcBorders>
              <w:top w:val="single" w:color="000000" w:sz="4" w:space="0"/>
              <w:left w:val="single" w:color="000000" w:sz="4" w:space="0"/>
              <w:bottom w:val="single" w:color="000000" w:sz="4" w:space="0"/>
              <w:right w:val="single" w:color="000000" w:sz="4" w:space="0"/>
            </w:tcBorders>
            <w:vAlign w:val="center"/>
          </w:tcPr>
          <w:p w14:paraId="630CB8DA">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按时发放率</w:t>
            </w:r>
          </w:p>
        </w:tc>
        <w:tc>
          <w:tcPr>
            <w:tcW w:w="892" w:type="dxa"/>
            <w:tcBorders>
              <w:top w:val="single" w:color="000000" w:sz="4" w:space="0"/>
              <w:left w:val="single" w:color="000000" w:sz="4" w:space="0"/>
              <w:bottom w:val="single" w:color="000000" w:sz="4" w:space="0"/>
              <w:right w:val="single" w:color="000000" w:sz="4" w:space="0"/>
            </w:tcBorders>
            <w:vAlign w:val="center"/>
          </w:tcPr>
          <w:p w14:paraId="78A59D20">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09" w:type="dxa"/>
            <w:tcBorders>
              <w:top w:val="single" w:color="000000" w:sz="4" w:space="0"/>
              <w:left w:val="single" w:color="000000" w:sz="4" w:space="0"/>
              <w:bottom w:val="single" w:color="000000" w:sz="4" w:space="0"/>
              <w:right w:val="single" w:color="000000" w:sz="4" w:space="0"/>
            </w:tcBorders>
            <w:vAlign w:val="center"/>
          </w:tcPr>
          <w:p w14:paraId="6070A909">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813" w:type="dxa"/>
            <w:tcBorders>
              <w:top w:val="single" w:color="000000" w:sz="4" w:space="0"/>
              <w:left w:val="single" w:color="000000" w:sz="4" w:space="0"/>
              <w:bottom w:val="single" w:color="000000" w:sz="4" w:space="0"/>
              <w:right w:val="single" w:color="000000" w:sz="4" w:space="0"/>
            </w:tcBorders>
            <w:vAlign w:val="center"/>
          </w:tcPr>
          <w:p w14:paraId="5E7D345D">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70" w:type="dxa"/>
            <w:tcBorders>
              <w:top w:val="single" w:color="000000" w:sz="4" w:space="0"/>
              <w:left w:val="single" w:color="000000" w:sz="4" w:space="0"/>
              <w:bottom w:val="single" w:color="000000" w:sz="4" w:space="0"/>
              <w:right w:val="single" w:color="000000" w:sz="4" w:space="0"/>
            </w:tcBorders>
            <w:vAlign w:val="center"/>
          </w:tcPr>
          <w:p w14:paraId="675EA149">
            <w:pPr>
              <w:jc w:val="center"/>
              <w:rPr>
                <w:rFonts w:hint="eastAsia" w:ascii="微软雅黑" w:hAnsi="微软雅黑" w:eastAsia="微软雅黑" w:cs="微软雅黑"/>
                <w:i/>
                <w:iCs/>
                <w:color w:val="000000"/>
                <w:sz w:val="16"/>
                <w:szCs w:val="16"/>
                <w:u w:val="none"/>
              </w:rPr>
            </w:pPr>
          </w:p>
        </w:tc>
        <w:tc>
          <w:tcPr>
            <w:tcW w:w="805" w:type="dxa"/>
            <w:tcBorders>
              <w:top w:val="single" w:color="000000" w:sz="4" w:space="0"/>
              <w:left w:val="single" w:color="000000" w:sz="4" w:space="0"/>
              <w:bottom w:val="single" w:color="000000" w:sz="4" w:space="0"/>
              <w:right w:val="single" w:color="000000" w:sz="4" w:space="0"/>
            </w:tcBorders>
            <w:vAlign w:val="center"/>
          </w:tcPr>
          <w:p w14:paraId="4242D377">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22.5</w:t>
            </w:r>
          </w:p>
        </w:tc>
        <w:tc>
          <w:tcPr>
            <w:tcW w:w="731" w:type="dxa"/>
            <w:tcBorders>
              <w:top w:val="single" w:color="000000" w:sz="4" w:space="0"/>
              <w:left w:val="single" w:color="000000" w:sz="4" w:space="0"/>
              <w:bottom w:val="single" w:color="000000" w:sz="4" w:space="0"/>
              <w:right w:val="single" w:color="000000" w:sz="4" w:space="0"/>
            </w:tcBorders>
            <w:vAlign w:val="center"/>
          </w:tcPr>
          <w:p w14:paraId="7667A22F">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18</w:t>
            </w:r>
          </w:p>
        </w:tc>
        <w:tc>
          <w:tcPr>
            <w:tcW w:w="918" w:type="dxa"/>
            <w:tcBorders>
              <w:top w:val="single" w:color="000000" w:sz="4" w:space="0"/>
              <w:left w:val="single" w:color="000000" w:sz="4" w:space="0"/>
              <w:bottom w:val="single" w:color="000000" w:sz="4" w:space="0"/>
              <w:right w:val="single" w:color="000000" w:sz="4" w:space="0"/>
            </w:tcBorders>
            <w:vAlign w:val="center"/>
          </w:tcPr>
          <w:p w14:paraId="7DE949C4">
            <w:pPr>
              <w:jc w:val="center"/>
              <w:rPr>
                <w:rFonts w:hint="eastAsia" w:ascii="微软雅黑" w:hAnsi="微软雅黑" w:eastAsia="微软雅黑" w:cs="微软雅黑"/>
                <w:i/>
                <w:iCs/>
                <w:color w:val="000000"/>
                <w:sz w:val="16"/>
                <w:szCs w:val="16"/>
                <w:u w:val="none"/>
              </w:rPr>
            </w:pPr>
          </w:p>
        </w:tc>
      </w:tr>
      <w:tr w14:paraId="217CF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vMerge w:val="continue"/>
            <w:tcBorders>
              <w:top w:val="single" w:color="000000" w:sz="4" w:space="0"/>
              <w:left w:val="single" w:color="000000" w:sz="4" w:space="0"/>
              <w:bottom w:val="single" w:color="000000" w:sz="4" w:space="0"/>
              <w:right w:val="single" w:color="000000" w:sz="4" w:space="0"/>
            </w:tcBorders>
            <w:vAlign w:val="center"/>
          </w:tcPr>
          <w:p w14:paraId="415B7009">
            <w:pPr>
              <w:jc w:val="cente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49B80201">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925" w:type="dxa"/>
            <w:tcBorders>
              <w:top w:val="single" w:color="000000" w:sz="4" w:space="0"/>
              <w:left w:val="single" w:color="000000" w:sz="4" w:space="0"/>
              <w:bottom w:val="single" w:color="000000" w:sz="4" w:space="0"/>
              <w:right w:val="single" w:color="000000" w:sz="4" w:space="0"/>
            </w:tcBorders>
            <w:vAlign w:val="center"/>
          </w:tcPr>
          <w:p w14:paraId="777822F8">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925" w:type="dxa"/>
            <w:tcBorders>
              <w:top w:val="single" w:color="000000" w:sz="4" w:space="0"/>
              <w:left w:val="single" w:color="000000" w:sz="4" w:space="0"/>
              <w:bottom w:val="single" w:color="000000" w:sz="4" w:space="0"/>
              <w:right w:val="single" w:color="000000" w:sz="4" w:space="0"/>
            </w:tcBorders>
            <w:vAlign w:val="center"/>
          </w:tcPr>
          <w:p w14:paraId="65175ECC">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结余率（计算方法为：结余数/预算数）</w:t>
            </w:r>
          </w:p>
        </w:tc>
        <w:tc>
          <w:tcPr>
            <w:tcW w:w="892" w:type="dxa"/>
            <w:tcBorders>
              <w:top w:val="single" w:color="000000" w:sz="4" w:space="0"/>
              <w:left w:val="single" w:color="000000" w:sz="4" w:space="0"/>
              <w:bottom w:val="single" w:color="000000" w:sz="4" w:space="0"/>
              <w:right w:val="single" w:color="000000" w:sz="4" w:space="0"/>
            </w:tcBorders>
            <w:vAlign w:val="center"/>
          </w:tcPr>
          <w:p w14:paraId="7CBE7996">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09" w:type="dxa"/>
            <w:tcBorders>
              <w:top w:val="single" w:color="000000" w:sz="4" w:space="0"/>
              <w:left w:val="single" w:color="000000" w:sz="4" w:space="0"/>
              <w:bottom w:val="single" w:color="000000" w:sz="4" w:space="0"/>
              <w:right w:val="single" w:color="000000" w:sz="4" w:space="0"/>
            </w:tcBorders>
            <w:vAlign w:val="center"/>
          </w:tcPr>
          <w:p w14:paraId="7BD4799D">
            <w:pPr>
              <w:widowControl/>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5</w:t>
            </w:r>
          </w:p>
        </w:tc>
        <w:tc>
          <w:tcPr>
            <w:tcW w:w="813" w:type="dxa"/>
            <w:tcBorders>
              <w:top w:val="single" w:color="000000" w:sz="4" w:space="0"/>
              <w:left w:val="single" w:color="000000" w:sz="4" w:space="0"/>
              <w:bottom w:val="single" w:color="000000" w:sz="4" w:space="0"/>
              <w:right w:val="single" w:color="000000" w:sz="4" w:space="0"/>
            </w:tcBorders>
            <w:vAlign w:val="center"/>
          </w:tcPr>
          <w:p w14:paraId="7D7E8D7C">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70" w:type="dxa"/>
            <w:tcBorders>
              <w:top w:val="single" w:color="000000" w:sz="4" w:space="0"/>
              <w:left w:val="single" w:color="000000" w:sz="4" w:space="0"/>
              <w:bottom w:val="single" w:color="000000" w:sz="4" w:space="0"/>
              <w:right w:val="single" w:color="000000" w:sz="4" w:space="0"/>
            </w:tcBorders>
            <w:vAlign w:val="center"/>
          </w:tcPr>
          <w:p w14:paraId="54EF2AA2">
            <w:pPr>
              <w:jc w:val="center"/>
              <w:rPr>
                <w:rFonts w:hint="eastAsia" w:ascii="微软雅黑" w:hAnsi="微软雅黑" w:eastAsia="微软雅黑" w:cs="微软雅黑"/>
                <w:i/>
                <w:iCs/>
                <w:color w:val="000000"/>
                <w:sz w:val="16"/>
                <w:szCs w:val="16"/>
                <w:u w:val="none"/>
              </w:rPr>
            </w:pPr>
          </w:p>
        </w:tc>
        <w:tc>
          <w:tcPr>
            <w:tcW w:w="805" w:type="dxa"/>
            <w:tcBorders>
              <w:top w:val="single" w:color="000000" w:sz="4" w:space="0"/>
              <w:left w:val="single" w:color="000000" w:sz="4" w:space="0"/>
              <w:bottom w:val="single" w:color="000000" w:sz="4" w:space="0"/>
              <w:right w:val="single" w:color="000000" w:sz="4" w:space="0"/>
            </w:tcBorders>
            <w:vAlign w:val="center"/>
          </w:tcPr>
          <w:p w14:paraId="1BB655DD">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22.5</w:t>
            </w:r>
          </w:p>
        </w:tc>
        <w:tc>
          <w:tcPr>
            <w:tcW w:w="731" w:type="dxa"/>
            <w:tcBorders>
              <w:top w:val="single" w:color="000000" w:sz="4" w:space="0"/>
              <w:left w:val="single" w:color="000000" w:sz="4" w:space="0"/>
              <w:bottom w:val="single" w:color="000000" w:sz="4" w:space="0"/>
              <w:right w:val="single" w:color="000000" w:sz="4" w:space="0"/>
            </w:tcBorders>
            <w:vAlign w:val="center"/>
          </w:tcPr>
          <w:p w14:paraId="7C9CE1EA">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20.5</w:t>
            </w:r>
          </w:p>
        </w:tc>
        <w:tc>
          <w:tcPr>
            <w:tcW w:w="918" w:type="dxa"/>
            <w:tcBorders>
              <w:top w:val="single" w:color="000000" w:sz="4" w:space="0"/>
              <w:left w:val="single" w:color="000000" w:sz="4" w:space="0"/>
              <w:bottom w:val="single" w:color="000000" w:sz="4" w:space="0"/>
              <w:right w:val="single" w:color="000000" w:sz="4" w:space="0"/>
            </w:tcBorders>
            <w:vAlign w:val="center"/>
          </w:tcPr>
          <w:p w14:paraId="5FBFC3CB">
            <w:pPr>
              <w:jc w:val="center"/>
              <w:rPr>
                <w:rFonts w:hint="eastAsia" w:ascii="微软雅黑" w:hAnsi="微软雅黑" w:eastAsia="微软雅黑" w:cs="微软雅黑"/>
                <w:i/>
                <w:iCs/>
                <w:color w:val="000000"/>
                <w:sz w:val="16"/>
                <w:szCs w:val="16"/>
                <w:u w:val="none"/>
              </w:rPr>
            </w:pPr>
          </w:p>
        </w:tc>
      </w:tr>
      <w:tr w14:paraId="2D9C3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66" w:type="dxa"/>
            <w:gridSpan w:val="8"/>
            <w:tcBorders>
              <w:top w:val="single" w:color="000000" w:sz="4" w:space="0"/>
              <w:left w:val="single" w:color="000000" w:sz="4" w:space="0"/>
              <w:bottom w:val="single" w:color="000000" w:sz="4" w:space="0"/>
              <w:right w:val="single" w:color="000000" w:sz="4" w:space="0"/>
            </w:tcBorders>
            <w:vAlign w:val="center"/>
          </w:tcPr>
          <w:p w14:paraId="31F68DE9">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805" w:type="dxa"/>
            <w:tcBorders>
              <w:top w:val="single" w:color="000000" w:sz="4" w:space="0"/>
              <w:left w:val="single" w:color="000000" w:sz="4" w:space="0"/>
              <w:bottom w:val="single" w:color="000000" w:sz="4" w:space="0"/>
              <w:right w:val="single" w:color="000000" w:sz="4" w:space="0"/>
            </w:tcBorders>
            <w:vAlign w:val="center"/>
          </w:tcPr>
          <w:p w14:paraId="23DCB23C">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31" w:type="dxa"/>
            <w:tcBorders>
              <w:top w:val="single" w:color="000000" w:sz="4" w:space="0"/>
              <w:left w:val="single" w:color="000000" w:sz="4" w:space="0"/>
              <w:bottom w:val="single" w:color="000000" w:sz="4" w:space="0"/>
              <w:right w:val="single" w:color="000000" w:sz="4" w:space="0"/>
            </w:tcBorders>
            <w:vAlign w:val="center"/>
          </w:tcPr>
          <w:p w14:paraId="50DB610F">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918" w:type="dxa"/>
            <w:tcBorders>
              <w:top w:val="single" w:color="000000" w:sz="4" w:space="0"/>
              <w:left w:val="single" w:color="000000" w:sz="4" w:space="0"/>
              <w:bottom w:val="single" w:color="000000" w:sz="4" w:space="0"/>
              <w:right w:val="single" w:color="000000" w:sz="4" w:space="0"/>
            </w:tcBorders>
            <w:vAlign w:val="center"/>
          </w:tcPr>
          <w:p w14:paraId="43BBC759">
            <w:pPr>
              <w:rPr>
                <w:rFonts w:hint="eastAsia" w:ascii="宋体" w:hAnsi="宋体" w:eastAsia="宋体" w:cs="宋体"/>
                <w:i w:val="0"/>
                <w:iCs w:val="0"/>
                <w:color w:val="000000"/>
                <w:sz w:val="18"/>
                <w:szCs w:val="18"/>
                <w:u w:val="none"/>
              </w:rPr>
            </w:pPr>
          </w:p>
        </w:tc>
      </w:tr>
      <w:tr w14:paraId="2385C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tcBorders>
              <w:top w:val="single" w:color="000000" w:sz="4" w:space="0"/>
              <w:left w:val="single" w:color="000000" w:sz="4" w:space="0"/>
              <w:bottom w:val="single" w:color="000000" w:sz="4" w:space="0"/>
              <w:right w:val="single" w:color="000000" w:sz="4" w:space="0"/>
            </w:tcBorders>
            <w:vAlign w:val="center"/>
          </w:tcPr>
          <w:p w14:paraId="01FB52FF">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8841" w:type="dxa"/>
            <w:gridSpan w:val="10"/>
            <w:tcBorders>
              <w:top w:val="single" w:color="000000" w:sz="4" w:space="0"/>
              <w:left w:val="single" w:color="000000" w:sz="4" w:space="0"/>
              <w:bottom w:val="single" w:color="000000" w:sz="4" w:space="0"/>
              <w:right w:val="single" w:color="000000" w:sz="4" w:space="0"/>
            </w:tcBorders>
            <w:vAlign w:val="center"/>
          </w:tcPr>
          <w:p w14:paraId="7F07D5FD">
            <w:pPr>
              <w:widowControl/>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救助对象医疗费项目的社会效益是没有发生因流乞人员没有得到及时救治而发生重大事件</w:t>
            </w:r>
          </w:p>
        </w:tc>
      </w:tr>
      <w:tr w14:paraId="5AEA3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tcBorders>
              <w:top w:val="single" w:color="000000" w:sz="4" w:space="0"/>
              <w:left w:val="single" w:color="000000" w:sz="4" w:space="0"/>
              <w:bottom w:val="single" w:color="000000" w:sz="4" w:space="0"/>
              <w:right w:val="single" w:color="000000" w:sz="4" w:space="0"/>
            </w:tcBorders>
            <w:vAlign w:val="center"/>
          </w:tcPr>
          <w:p w14:paraId="46DA1C68">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8841" w:type="dxa"/>
            <w:gridSpan w:val="10"/>
            <w:tcBorders>
              <w:top w:val="single" w:color="000000" w:sz="4" w:space="0"/>
              <w:left w:val="single" w:color="000000" w:sz="4" w:space="0"/>
              <w:bottom w:val="single" w:color="000000" w:sz="4" w:space="0"/>
              <w:right w:val="single" w:color="000000" w:sz="4" w:space="0"/>
            </w:tcBorders>
            <w:vAlign w:val="center"/>
          </w:tcPr>
          <w:p w14:paraId="416106DE">
            <w:pPr>
              <w:widowControl/>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“职业乞讨”现象依然存在；救助对象身份甄别难度大；跑站、骗助形势严峻。</w:t>
            </w:r>
          </w:p>
        </w:tc>
      </w:tr>
      <w:tr w14:paraId="2B403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tcBorders>
              <w:top w:val="single" w:color="000000" w:sz="4" w:space="0"/>
              <w:left w:val="single" w:color="000000" w:sz="4" w:space="0"/>
              <w:bottom w:val="single" w:color="000000" w:sz="4" w:space="0"/>
              <w:right w:val="single" w:color="000000" w:sz="4" w:space="0"/>
            </w:tcBorders>
            <w:vAlign w:val="center"/>
          </w:tcPr>
          <w:p w14:paraId="53C85338">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8841" w:type="dxa"/>
            <w:gridSpan w:val="10"/>
            <w:tcBorders>
              <w:top w:val="single" w:color="000000" w:sz="4" w:space="0"/>
              <w:left w:val="single" w:color="000000" w:sz="4" w:space="0"/>
              <w:bottom w:val="single" w:color="000000" w:sz="4" w:space="0"/>
              <w:right w:val="single" w:color="000000" w:sz="4" w:space="0"/>
            </w:tcBorders>
            <w:vAlign w:val="center"/>
          </w:tcPr>
          <w:p w14:paraId="53693F3A">
            <w:pPr>
              <w:widowControl/>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全方位加强救助工作宣传报道力度； 加强救助人员的身份查询及录亲工作；严惩一些人利用政策上的漏洞，往返于各个救助站之间骗助等行为。</w:t>
            </w:r>
          </w:p>
        </w:tc>
      </w:tr>
      <w:tr w14:paraId="74F4E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74" w:type="dxa"/>
            <w:gridSpan w:val="5"/>
            <w:tcBorders>
              <w:top w:val="single" w:color="000000" w:sz="4" w:space="0"/>
              <w:left w:val="single" w:color="000000" w:sz="4" w:space="0"/>
              <w:bottom w:val="single" w:color="000000" w:sz="4" w:space="0"/>
              <w:right w:val="single" w:color="000000" w:sz="4" w:space="0"/>
            </w:tcBorders>
            <w:vAlign w:val="center"/>
          </w:tcPr>
          <w:p w14:paraId="7A52C926">
            <w:pPr>
              <w:widowControl/>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项目负责人：叶林鑫</w:t>
            </w:r>
          </w:p>
        </w:tc>
        <w:tc>
          <w:tcPr>
            <w:tcW w:w="5146" w:type="dxa"/>
            <w:gridSpan w:val="6"/>
            <w:tcBorders>
              <w:top w:val="single" w:color="000000" w:sz="4" w:space="0"/>
              <w:left w:val="single" w:color="000000" w:sz="4" w:space="0"/>
              <w:bottom w:val="single" w:color="000000" w:sz="4" w:space="0"/>
              <w:right w:val="single" w:color="000000" w:sz="4" w:space="0"/>
            </w:tcBorders>
            <w:vAlign w:val="center"/>
          </w:tcPr>
          <w:p w14:paraId="3B1C3F69">
            <w:pPr>
              <w:widowControl/>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财务负责人：雷丽</w:t>
            </w:r>
          </w:p>
        </w:tc>
      </w:tr>
      <w:bookmarkEnd w:id="11"/>
    </w:tbl>
    <w:p w14:paraId="3AC80A59">
      <w:pPr>
        <w:spacing w:line="600" w:lineRule="exact"/>
        <w:jc w:val="both"/>
        <w:outlineLvl w:val="0"/>
        <w:rPr>
          <w:rFonts w:hint="default" w:ascii="Times New Roman" w:hAnsi="Times New Roman" w:eastAsia="黑体" w:cs="Times New Roman"/>
          <w:color w:val="000000"/>
          <w:sz w:val="44"/>
          <w:szCs w:val="44"/>
        </w:rPr>
      </w:pPr>
    </w:p>
    <w:p w14:paraId="02B437A0">
      <w:pPr>
        <w:spacing w:line="600" w:lineRule="exact"/>
        <w:jc w:val="center"/>
        <w:outlineLvl w:val="0"/>
        <w:rPr>
          <w:rStyle w:val="17"/>
          <w:rFonts w:hint="default" w:ascii="Times New Roman" w:hAnsi="Times New Roman" w:eastAsia="黑体" w:cs="Times New Roman"/>
          <w:b w:val="0"/>
        </w:rPr>
      </w:pPr>
      <w:r>
        <w:rPr>
          <w:rFonts w:hint="default" w:ascii="Times New Roman" w:hAnsi="Times New Roman" w:eastAsia="黑体" w:cs="Times New Roman"/>
          <w:color w:val="000000"/>
          <w:sz w:val="44"/>
          <w:szCs w:val="44"/>
        </w:rPr>
        <w:t>第</w:t>
      </w:r>
      <w:r>
        <w:rPr>
          <w:rStyle w:val="17"/>
          <w:rFonts w:hint="default" w:ascii="Times New Roman" w:hAnsi="Times New Roman" w:eastAsia="黑体" w:cs="Times New Roman"/>
          <w:b w:val="0"/>
        </w:rPr>
        <w:t>五部分 附表</w:t>
      </w:r>
    </w:p>
    <w:p w14:paraId="0380D8BF">
      <w:pPr>
        <w:pStyle w:val="4"/>
        <w:rPr>
          <w:rFonts w:hint="default" w:ascii="Times New Roman" w:hAnsi="Times New Roman" w:eastAsia="仿宋" w:cs="Times New Roman"/>
          <w:color w:val="000000"/>
        </w:rPr>
      </w:pPr>
      <w:bookmarkStart w:id="12" w:name="_Toc15396619"/>
      <w:r>
        <w:rPr>
          <w:rFonts w:hint="default" w:ascii="Times New Roman" w:hAnsi="Times New Roman" w:eastAsia="仿宋" w:cs="Times New Roman"/>
          <w:b w:val="0"/>
          <w:color w:val="000000"/>
        </w:rPr>
        <w:t>一、收</w:t>
      </w:r>
      <w:r>
        <w:rPr>
          <w:rStyle w:val="18"/>
          <w:rFonts w:hint="default" w:ascii="Times New Roman" w:hAnsi="Times New Roman" w:eastAsia="仿宋" w:cs="Times New Roman"/>
          <w:b w:val="0"/>
          <w:bCs w:val="0"/>
        </w:rPr>
        <w:t>入支出决算总表</w:t>
      </w:r>
      <w:bookmarkEnd w:id="12"/>
    </w:p>
    <w:p w14:paraId="637DE7BF">
      <w:pPr>
        <w:pStyle w:val="4"/>
        <w:rPr>
          <w:rFonts w:hint="default" w:ascii="Times New Roman" w:hAnsi="Times New Roman" w:eastAsia="仿宋" w:cs="Times New Roman"/>
          <w:color w:val="000000"/>
        </w:rPr>
      </w:pPr>
      <w:bookmarkStart w:id="13" w:name="_Toc15396620"/>
      <w:r>
        <w:rPr>
          <w:rFonts w:hint="default" w:ascii="Times New Roman" w:hAnsi="Times New Roman" w:eastAsia="仿宋" w:cs="Times New Roman"/>
          <w:b w:val="0"/>
          <w:color w:val="000000"/>
        </w:rPr>
        <w:t>二、收</w:t>
      </w:r>
      <w:r>
        <w:rPr>
          <w:rStyle w:val="18"/>
          <w:rFonts w:hint="default" w:ascii="Times New Roman" w:hAnsi="Times New Roman" w:eastAsia="仿宋" w:cs="Times New Roman"/>
          <w:b w:val="0"/>
          <w:bCs w:val="0"/>
        </w:rPr>
        <w:t>入决算表</w:t>
      </w:r>
      <w:bookmarkEnd w:id="13"/>
    </w:p>
    <w:p w14:paraId="37AC745A">
      <w:pPr>
        <w:pStyle w:val="4"/>
        <w:rPr>
          <w:rFonts w:hint="default" w:ascii="Times New Roman" w:hAnsi="Times New Roman" w:eastAsia="仿宋" w:cs="Times New Roman"/>
          <w:color w:val="000000"/>
        </w:rPr>
      </w:pPr>
      <w:bookmarkStart w:id="14" w:name="_Toc15396621"/>
      <w:r>
        <w:rPr>
          <w:rStyle w:val="18"/>
          <w:rFonts w:hint="default" w:ascii="Times New Roman" w:hAnsi="Times New Roman" w:eastAsia="仿宋" w:cs="Times New Roman"/>
          <w:b w:val="0"/>
          <w:bCs w:val="0"/>
        </w:rPr>
        <w:t>三、</w:t>
      </w:r>
      <w:r>
        <w:rPr>
          <w:rFonts w:hint="default" w:ascii="Times New Roman" w:hAnsi="Times New Roman" w:eastAsia="仿宋" w:cs="Times New Roman"/>
          <w:b w:val="0"/>
          <w:color w:val="000000"/>
        </w:rPr>
        <w:t>支</w:t>
      </w:r>
      <w:r>
        <w:rPr>
          <w:rStyle w:val="18"/>
          <w:rFonts w:hint="default" w:ascii="Times New Roman" w:hAnsi="Times New Roman" w:eastAsia="仿宋" w:cs="Times New Roman"/>
          <w:b w:val="0"/>
          <w:bCs w:val="0"/>
        </w:rPr>
        <w:t>出决算表</w:t>
      </w:r>
      <w:bookmarkEnd w:id="14"/>
    </w:p>
    <w:p w14:paraId="47F97BA1">
      <w:pPr>
        <w:pStyle w:val="4"/>
        <w:rPr>
          <w:rFonts w:hint="default" w:ascii="Times New Roman" w:hAnsi="Times New Roman" w:eastAsia="仿宋" w:cs="Times New Roman"/>
          <w:b w:val="0"/>
          <w:color w:val="000000"/>
        </w:rPr>
      </w:pPr>
      <w:bookmarkStart w:id="15" w:name="_Toc15396622"/>
      <w:r>
        <w:rPr>
          <w:rStyle w:val="18"/>
          <w:rFonts w:hint="default" w:ascii="Times New Roman" w:hAnsi="Times New Roman" w:eastAsia="仿宋" w:cs="Times New Roman"/>
          <w:b w:val="0"/>
          <w:bCs w:val="0"/>
        </w:rPr>
        <w:t>四、</w:t>
      </w:r>
      <w:r>
        <w:rPr>
          <w:rFonts w:hint="default" w:ascii="Times New Roman" w:hAnsi="Times New Roman" w:eastAsia="仿宋" w:cs="Times New Roman"/>
          <w:b w:val="0"/>
          <w:color w:val="000000"/>
        </w:rPr>
        <w:t>财</w:t>
      </w:r>
      <w:r>
        <w:rPr>
          <w:rStyle w:val="18"/>
          <w:rFonts w:hint="default" w:ascii="Times New Roman" w:hAnsi="Times New Roman" w:eastAsia="仿宋" w:cs="Times New Roman"/>
          <w:b w:val="0"/>
          <w:bCs w:val="0"/>
        </w:rPr>
        <w:t>政拨款收入支出决算总表</w:t>
      </w:r>
      <w:bookmarkEnd w:id="15"/>
    </w:p>
    <w:p w14:paraId="107A879D">
      <w:pPr>
        <w:pStyle w:val="4"/>
        <w:rPr>
          <w:rStyle w:val="18"/>
          <w:rFonts w:hint="default" w:ascii="Times New Roman" w:hAnsi="Times New Roman" w:eastAsia="仿宋" w:cs="Times New Roman"/>
          <w:b w:val="0"/>
          <w:bCs w:val="0"/>
        </w:rPr>
      </w:pPr>
      <w:bookmarkStart w:id="16" w:name="_Toc15396623"/>
      <w:r>
        <w:rPr>
          <w:rStyle w:val="18"/>
          <w:rFonts w:hint="default" w:ascii="Times New Roman" w:hAnsi="Times New Roman" w:eastAsia="仿宋" w:cs="Times New Roman"/>
          <w:b w:val="0"/>
          <w:bCs w:val="0"/>
        </w:rPr>
        <w:t>五、</w:t>
      </w:r>
      <w:r>
        <w:rPr>
          <w:rFonts w:hint="default" w:ascii="Times New Roman" w:hAnsi="Times New Roman" w:eastAsia="仿宋" w:cs="Times New Roman"/>
          <w:b w:val="0"/>
          <w:color w:val="000000"/>
        </w:rPr>
        <w:t>财</w:t>
      </w:r>
      <w:r>
        <w:rPr>
          <w:rStyle w:val="18"/>
          <w:rFonts w:hint="default" w:ascii="Times New Roman" w:hAnsi="Times New Roman" w:eastAsia="仿宋" w:cs="Times New Roman"/>
          <w:b w:val="0"/>
          <w:bCs w:val="0"/>
        </w:rPr>
        <w:t>政拨款支出决算明细表</w:t>
      </w:r>
      <w:bookmarkEnd w:id="16"/>
      <w:bookmarkStart w:id="17" w:name="_Toc15396624"/>
    </w:p>
    <w:p w14:paraId="09382370">
      <w:pPr>
        <w:pStyle w:val="4"/>
        <w:rPr>
          <w:rFonts w:hint="default" w:ascii="Times New Roman" w:hAnsi="Times New Roman" w:eastAsia="仿宋" w:cs="Times New Roman"/>
          <w:color w:val="000000"/>
        </w:rPr>
      </w:pPr>
      <w:r>
        <w:rPr>
          <w:rStyle w:val="18"/>
          <w:rFonts w:hint="default" w:ascii="Times New Roman" w:hAnsi="Times New Roman" w:eastAsia="仿宋" w:cs="Times New Roman"/>
          <w:b w:val="0"/>
          <w:bCs w:val="0"/>
        </w:rPr>
        <w:t>六、</w:t>
      </w:r>
      <w:r>
        <w:rPr>
          <w:rFonts w:hint="default" w:ascii="Times New Roman" w:hAnsi="Times New Roman" w:eastAsia="仿宋" w:cs="Times New Roman"/>
          <w:b w:val="0"/>
          <w:color w:val="000000"/>
        </w:rPr>
        <w:t>一</w:t>
      </w:r>
      <w:r>
        <w:rPr>
          <w:rStyle w:val="18"/>
          <w:rFonts w:hint="default" w:ascii="Times New Roman" w:hAnsi="Times New Roman" w:eastAsia="仿宋" w:cs="Times New Roman"/>
          <w:b w:val="0"/>
          <w:bCs w:val="0"/>
        </w:rPr>
        <w:t>般公共预算财政拨款支出决算表</w:t>
      </w:r>
      <w:bookmarkEnd w:id="17"/>
    </w:p>
    <w:p w14:paraId="1277EB2A">
      <w:pPr>
        <w:pStyle w:val="4"/>
        <w:rPr>
          <w:rFonts w:hint="default" w:ascii="Times New Roman" w:hAnsi="Times New Roman" w:eastAsia="仿宋" w:cs="Times New Roman"/>
          <w:color w:val="000000"/>
        </w:rPr>
      </w:pPr>
      <w:bookmarkStart w:id="18" w:name="_Toc15396625"/>
      <w:r>
        <w:rPr>
          <w:rStyle w:val="18"/>
          <w:rFonts w:hint="default" w:ascii="Times New Roman" w:hAnsi="Times New Roman" w:eastAsia="仿宋" w:cs="Times New Roman"/>
          <w:b w:val="0"/>
          <w:bCs w:val="0"/>
        </w:rPr>
        <w:t>七、</w:t>
      </w:r>
      <w:r>
        <w:rPr>
          <w:rFonts w:hint="default" w:ascii="Times New Roman" w:hAnsi="Times New Roman" w:eastAsia="仿宋" w:cs="Times New Roman"/>
          <w:b w:val="0"/>
          <w:color w:val="000000"/>
        </w:rPr>
        <w:t>一</w:t>
      </w:r>
      <w:r>
        <w:rPr>
          <w:rStyle w:val="18"/>
          <w:rFonts w:hint="default" w:ascii="Times New Roman" w:hAnsi="Times New Roman" w:eastAsia="仿宋" w:cs="Times New Roman"/>
          <w:b w:val="0"/>
          <w:bCs w:val="0"/>
        </w:rPr>
        <w:t>般公共预算财政拨款支出决算明细表</w:t>
      </w:r>
      <w:bookmarkEnd w:id="18"/>
    </w:p>
    <w:p w14:paraId="60B4AFD2">
      <w:pPr>
        <w:pStyle w:val="4"/>
        <w:rPr>
          <w:rFonts w:hint="default" w:ascii="Times New Roman" w:hAnsi="Times New Roman" w:eastAsia="仿宋" w:cs="Times New Roman"/>
          <w:color w:val="000000"/>
        </w:rPr>
      </w:pPr>
      <w:bookmarkStart w:id="19" w:name="_Toc15396626"/>
      <w:r>
        <w:rPr>
          <w:rStyle w:val="18"/>
          <w:rFonts w:hint="default" w:ascii="Times New Roman" w:hAnsi="Times New Roman" w:eastAsia="仿宋" w:cs="Times New Roman"/>
          <w:b w:val="0"/>
          <w:bCs w:val="0"/>
        </w:rPr>
        <w:t>八、</w:t>
      </w:r>
      <w:r>
        <w:rPr>
          <w:rFonts w:hint="default" w:ascii="Times New Roman" w:hAnsi="Times New Roman" w:eastAsia="仿宋" w:cs="Times New Roman"/>
          <w:b w:val="0"/>
          <w:color w:val="000000"/>
        </w:rPr>
        <w:t>一</w:t>
      </w:r>
      <w:r>
        <w:rPr>
          <w:rStyle w:val="18"/>
          <w:rFonts w:hint="default" w:ascii="Times New Roman" w:hAnsi="Times New Roman" w:eastAsia="仿宋" w:cs="Times New Roman"/>
          <w:b w:val="0"/>
          <w:bCs w:val="0"/>
        </w:rPr>
        <w:t>般公共预算财政拨款基本支出决算表</w:t>
      </w:r>
      <w:bookmarkEnd w:id="19"/>
    </w:p>
    <w:p w14:paraId="266A75F3">
      <w:pPr>
        <w:pStyle w:val="4"/>
        <w:rPr>
          <w:rFonts w:hint="default" w:ascii="Times New Roman" w:hAnsi="Times New Roman" w:eastAsia="仿宋" w:cs="Times New Roman"/>
          <w:color w:val="000000"/>
        </w:rPr>
      </w:pPr>
      <w:bookmarkStart w:id="20" w:name="_Toc15396627"/>
      <w:r>
        <w:rPr>
          <w:rStyle w:val="18"/>
          <w:rFonts w:hint="default" w:ascii="Times New Roman" w:hAnsi="Times New Roman" w:eastAsia="仿宋" w:cs="Times New Roman"/>
          <w:b w:val="0"/>
          <w:bCs w:val="0"/>
        </w:rPr>
        <w:t>九、</w:t>
      </w:r>
      <w:r>
        <w:rPr>
          <w:rFonts w:hint="default" w:ascii="Times New Roman" w:hAnsi="Times New Roman" w:eastAsia="仿宋" w:cs="Times New Roman"/>
          <w:b w:val="0"/>
          <w:color w:val="000000"/>
        </w:rPr>
        <w:t>一</w:t>
      </w:r>
      <w:r>
        <w:rPr>
          <w:rStyle w:val="18"/>
          <w:rFonts w:hint="default" w:ascii="Times New Roman" w:hAnsi="Times New Roman" w:eastAsia="仿宋" w:cs="Times New Roman"/>
          <w:b w:val="0"/>
          <w:bCs w:val="0"/>
        </w:rPr>
        <w:t>般公共预算财政拨款项目支出决算表</w:t>
      </w:r>
      <w:bookmarkEnd w:id="20"/>
    </w:p>
    <w:p w14:paraId="750AC448">
      <w:pPr>
        <w:pStyle w:val="4"/>
        <w:rPr>
          <w:rFonts w:hint="default" w:ascii="Times New Roman" w:hAnsi="Times New Roman" w:eastAsia="仿宋" w:cs="Times New Roman"/>
          <w:color w:val="000000"/>
        </w:rPr>
      </w:pPr>
      <w:bookmarkStart w:id="21" w:name="_Toc15396629"/>
      <w:r>
        <w:rPr>
          <w:rStyle w:val="18"/>
          <w:rFonts w:hint="default" w:ascii="Times New Roman" w:hAnsi="Times New Roman" w:eastAsia="仿宋" w:cs="Times New Roman"/>
          <w:b w:val="0"/>
          <w:bCs w:val="0"/>
        </w:rPr>
        <w:t>十、</w:t>
      </w:r>
      <w:r>
        <w:rPr>
          <w:rFonts w:hint="default" w:ascii="Times New Roman" w:hAnsi="Times New Roman" w:eastAsia="仿宋" w:cs="Times New Roman"/>
          <w:b w:val="0"/>
          <w:color w:val="000000"/>
        </w:rPr>
        <w:t>政</w:t>
      </w:r>
      <w:r>
        <w:rPr>
          <w:rStyle w:val="18"/>
          <w:rFonts w:hint="default" w:ascii="Times New Roman" w:hAnsi="Times New Roman" w:eastAsia="仿宋" w:cs="Times New Roman"/>
          <w:b w:val="0"/>
          <w:bCs w:val="0"/>
        </w:rPr>
        <w:t>府性基金预算财政拨款收入支出决算表</w:t>
      </w:r>
      <w:bookmarkEnd w:id="21"/>
    </w:p>
    <w:p w14:paraId="56A79A6E">
      <w:pPr>
        <w:pStyle w:val="4"/>
        <w:rPr>
          <w:rStyle w:val="18"/>
          <w:rFonts w:hint="default" w:ascii="Times New Roman" w:hAnsi="Times New Roman" w:eastAsia="仿宋" w:cs="Times New Roman"/>
          <w:b w:val="0"/>
          <w:bCs w:val="0"/>
        </w:rPr>
      </w:pPr>
      <w:bookmarkStart w:id="22" w:name="_Toc15396631"/>
      <w:r>
        <w:rPr>
          <w:rStyle w:val="18"/>
          <w:rFonts w:hint="default" w:ascii="Times New Roman" w:hAnsi="Times New Roman" w:eastAsia="仿宋" w:cs="Times New Roman"/>
          <w:b w:val="0"/>
          <w:bCs w:val="0"/>
        </w:rPr>
        <w:t>十</w:t>
      </w:r>
      <w:r>
        <w:rPr>
          <w:rStyle w:val="18"/>
          <w:rFonts w:hint="default" w:ascii="Times New Roman" w:hAnsi="Times New Roman" w:eastAsia="仿宋" w:cs="Times New Roman"/>
          <w:b w:val="0"/>
          <w:bCs w:val="0"/>
          <w:lang w:eastAsia="zh-CN"/>
        </w:rPr>
        <w:t>一</w:t>
      </w:r>
      <w:r>
        <w:rPr>
          <w:rStyle w:val="18"/>
          <w:rFonts w:hint="default" w:ascii="Times New Roman" w:hAnsi="Times New Roman" w:eastAsia="仿宋" w:cs="Times New Roman"/>
          <w:b w:val="0"/>
          <w:bCs w:val="0"/>
        </w:rPr>
        <w:t>、</w:t>
      </w:r>
      <w:r>
        <w:rPr>
          <w:rFonts w:hint="default" w:ascii="Times New Roman" w:hAnsi="Times New Roman" w:eastAsia="仿宋" w:cs="Times New Roman"/>
          <w:b w:val="0"/>
          <w:color w:val="000000"/>
        </w:rPr>
        <w:t>国有资本经营预算财政拨款收入支出决算表</w:t>
      </w:r>
    </w:p>
    <w:p w14:paraId="1372709A">
      <w:pPr>
        <w:pStyle w:val="4"/>
        <w:rPr>
          <w:rStyle w:val="18"/>
          <w:rFonts w:hint="default" w:ascii="Times New Roman" w:hAnsi="Times New Roman" w:eastAsia="仿宋" w:cs="Times New Roman"/>
          <w:b w:val="0"/>
          <w:bCs w:val="0"/>
        </w:rPr>
      </w:pPr>
      <w:r>
        <w:rPr>
          <w:rFonts w:hint="default" w:ascii="Times New Roman" w:hAnsi="Times New Roman" w:eastAsia="仿宋" w:cs="Times New Roman"/>
          <w:b w:val="0"/>
          <w:color w:val="000000"/>
        </w:rPr>
        <w:t>十</w:t>
      </w:r>
      <w:r>
        <w:rPr>
          <w:rFonts w:hint="default" w:ascii="Times New Roman" w:hAnsi="Times New Roman" w:eastAsia="仿宋" w:cs="Times New Roman"/>
          <w:b w:val="0"/>
          <w:color w:val="000000"/>
          <w:lang w:eastAsia="zh-CN"/>
        </w:rPr>
        <w:t>二</w:t>
      </w:r>
      <w:r>
        <w:rPr>
          <w:rFonts w:hint="default" w:ascii="Times New Roman" w:hAnsi="Times New Roman" w:eastAsia="仿宋" w:cs="Times New Roman"/>
          <w:b w:val="0"/>
          <w:color w:val="000000"/>
        </w:rPr>
        <w:t>、国</w:t>
      </w:r>
      <w:r>
        <w:rPr>
          <w:rStyle w:val="18"/>
          <w:rFonts w:hint="default" w:ascii="Times New Roman" w:hAnsi="Times New Roman" w:eastAsia="仿宋" w:cs="Times New Roman"/>
          <w:b w:val="0"/>
          <w:bCs w:val="0"/>
        </w:rPr>
        <w:t>有资本经营预算财政拨款支出决算表</w:t>
      </w:r>
      <w:bookmarkEnd w:id="22"/>
    </w:p>
    <w:p w14:paraId="5B3D85F4">
      <w:pPr>
        <w:pStyle w:val="4"/>
        <w:rPr>
          <w:sz w:val="28"/>
          <w:szCs w:val="28"/>
        </w:rPr>
      </w:pPr>
      <w:r>
        <w:rPr>
          <w:rFonts w:hint="default" w:ascii="Times New Roman" w:hAnsi="Times New Roman" w:eastAsia="仿宋" w:cs="Times New Roman"/>
          <w:b w:val="0"/>
          <w:color w:val="000000"/>
        </w:rPr>
        <w:t>十</w:t>
      </w:r>
      <w:r>
        <w:rPr>
          <w:rFonts w:hint="default" w:ascii="Times New Roman" w:hAnsi="Times New Roman" w:eastAsia="仿宋" w:cs="Times New Roman"/>
          <w:b w:val="0"/>
          <w:color w:val="000000"/>
          <w:lang w:eastAsia="zh-CN"/>
        </w:rPr>
        <w:t>三</w:t>
      </w:r>
      <w:r>
        <w:rPr>
          <w:rFonts w:hint="default" w:ascii="Times New Roman" w:hAnsi="Times New Roman" w:eastAsia="仿宋" w:cs="Times New Roman"/>
          <w:b w:val="0"/>
          <w:color w:val="000000"/>
        </w:rPr>
        <w:t>、</w:t>
      </w:r>
      <w:r>
        <w:rPr>
          <w:rStyle w:val="18"/>
          <w:rFonts w:hint="default" w:ascii="Times New Roman" w:hAnsi="Times New Roman" w:eastAsia="仿宋" w:cs="Times New Roman"/>
          <w:b w:val="0"/>
          <w:bCs w:val="0"/>
        </w:rPr>
        <w:t>财政拨款“三公”经费支出决算表</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CA1F5">
    <w:pPr>
      <w:pStyle w:val="7"/>
      <w:jc w:val="center"/>
    </w:pPr>
    <w:r>
      <w:fldChar w:fldCharType="begin"/>
    </w:r>
    <w:r>
      <w:instrText xml:space="preserve"> PAGE   \* MERGEFORMAT </w:instrText>
    </w:r>
    <w:r>
      <w:fldChar w:fldCharType="separate"/>
    </w:r>
    <w:r>
      <w:rPr>
        <w:lang w:val="zh-CN"/>
      </w:rPr>
      <w:t>10</w:t>
    </w:r>
    <w:r>
      <w:rPr>
        <w:lang w:val="zh-CN"/>
      </w:rPr>
      <w:fldChar w:fldCharType="end"/>
    </w:r>
  </w:p>
  <w:p w14:paraId="6A3FAC01">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C2FD4"/>
    <w:multiLevelType w:val="singleLevel"/>
    <w:tmpl w:val="8A6C2FD4"/>
    <w:lvl w:ilvl="0" w:tentative="0">
      <w:start w:val="1"/>
      <w:numFmt w:val="chineseCounting"/>
      <w:suff w:val="nothing"/>
      <w:lvlText w:val="（%1）"/>
      <w:lvlJc w:val="left"/>
      <w:rPr>
        <w:rFonts w:hint="eastAsia"/>
      </w:rPr>
    </w:lvl>
  </w:abstractNum>
  <w:abstractNum w:abstractNumId="1">
    <w:nsid w:val="B01B1060"/>
    <w:multiLevelType w:val="singleLevel"/>
    <w:tmpl w:val="B01B1060"/>
    <w:lvl w:ilvl="0" w:tentative="0">
      <w:start w:val="1"/>
      <w:numFmt w:val="chineseCounting"/>
      <w:suff w:val="nothing"/>
      <w:lvlText w:val="（%1）"/>
      <w:lvlJc w:val="left"/>
      <w:rPr>
        <w:rFonts w:hint="eastAsia"/>
      </w:rPr>
    </w:lvl>
  </w:abstractNum>
  <w:abstractNum w:abstractNumId="2">
    <w:nsid w:val="B5DA8631"/>
    <w:multiLevelType w:val="singleLevel"/>
    <w:tmpl w:val="B5DA8631"/>
    <w:lvl w:ilvl="0" w:tentative="0">
      <w:start w:val="3"/>
      <w:numFmt w:val="decimal"/>
      <w:lvlText w:val="%1."/>
      <w:lvlJc w:val="left"/>
      <w:pPr>
        <w:tabs>
          <w:tab w:val="left" w:pos="312"/>
        </w:tabs>
      </w:pPr>
    </w:lvl>
  </w:abstractNum>
  <w:abstractNum w:abstractNumId="3">
    <w:nsid w:val="FA425B3D"/>
    <w:multiLevelType w:val="singleLevel"/>
    <w:tmpl w:val="FA425B3D"/>
    <w:lvl w:ilvl="0" w:tentative="0">
      <w:start w:val="1"/>
      <w:numFmt w:val="decimal"/>
      <w:lvlText w:val="%1."/>
      <w:lvlJc w:val="left"/>
      <w:pPr>
        <w:tabs>
          <w:tab w:val="left" w:pos="312"/>
        </w:tabs>
      </w:pPr>
    </w:lvl>
  </w:abstractNum>
  <w:abstractNum w:abstractNumId="4">
    <w:nsid w:val="0B8F1F48"/>
    <w:multiLevelType w:val="singleLevel"/>
    <w:tmpl w:val="0B8F1F48"/>
    <w:lvl w:ilvl="0" w:tentative="0">
      <w:start w:val="1"/>
      <w:numFmt w:val="chineseCounting"/>
      <w:suff w:val="nothing"/>
      <w:lvlText w:val="（%1）"/>
      <w:lvlJc w:val="left"/>
      <w:rPr>
        <w:rFonts w:hint="eastAsia"/>
      </w:rPr>
    </w:lvl>
  </w:abstractNum>
  <w:abstractNum w:abstractNumId="5">
    <w:nsid w:val="182739BC"/>
    <w:multiLevelType w:val="multilevel"/>
    <w:tmpl w:val="182739BC"/>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CFF0BDE"/>
    <w:multiLevelType w:val="multilevel"/>
    <w:tmpl w:val="1CFF0BDE"/>
    <w:lvl w:ilvl="0" w:tentative="0">
      <w:start w:val="1"/>
      <w:numFmt w:val="japaneseCounting"/>
      <w:lvlText w:val="（%1）"/>
      <w:lvlJc w:val="left"/>
      <w:pPr>
        <w:ind w:left="862"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D550F30"/>
    <w:multiLevelType w:val="multilevel"/>
    <w:tmpl w:val="1D550F30"/>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3771B51"/>
    <w:multiLevelType w:val="singleLevel"/>
    <w:tmpl w:val="33771B51"/>
    <w:lvl w:ilvl="0" w:tentative="0">
      <w:start w:val="2"/>
      <w:numFmt w:val="chineseCounting"/>
      <w:suff w:val="nothing"/>
      <w:lvlText w:val="（%1）"/>
      <w:lvlJc w:val="left"/>
      <w:rPr>
        <w:rFonts w:hint="eastAsia"/>
      </w:rPr>
    </w:lvl>
  </w:abstractNum>
  <w:abstractNum w:abstractNumId="9">
    <w:nsid w:val="393910A0"/>
    <w:multiLevelType w:val="multilevel"/>
    <w:tmpl w:val="393910A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CF769A3"/>
    <w:multiLevelType w:val="multilevel"/>
    <w:tmpl w:val="4CF769A3"/>
    <w:lvl w:ilvl="0" w:tentative="0">
      <w:start w:val="5"/>
      <w:numFmt w:val="none"/>
      <w:lvlText w:val="五、"/>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FF7780A"/>
    <w:multiLevelType w:val="multilevel"/>
    <w:tmpl w:val="4FF7780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F337619"/>
    <w:multiLevelType w:val="multilevel"/>
    <w:tmpl w:val="5F3376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61BAC0E"/>
    <w:multiLevelType w:val="singleLevel"/>
    <w:tmpl w:val="661BAC0E"/>
    <w:lvl w:ilvl="0" w:tentative="0">
      <w:start w:val="1"/>
      <w:numFmt w:val="decimal"/>
      <w:lvlText w:val="%1."/>
      <w:lvlJc w:val="left"/>
      <w:pPr>
        <w:tabs>
          <w:tab w:val="left" w:pos="312"/>
        </w:tabs>
      </w:pPr>
    </w:lvl>
  </w:abstractNum>
  <w:abstractNum w:abstractNumId="14">
    <w:nsid w:val="6F7F17F8"/>
    <w:multiLevelType w:val="multilevel"/>
    <w:tmpl w:val="6F7F17F8"/>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2D90354"/>
    <w:multiLevelType w:val="singleLevel"/>
    <w:tmpl w:val="72D90354"/>
    <w:lvl w:ilvl="0" w:tentative="0">
      <w:start w:val="7"/>
      <w:numFmt w:val="chineseCounting"/>
      <w:suff w:val="nothing"/>
      <w:lvlText w:val="%1、"/>
      <w:lvlJc w:val="left"/>
      <w:rPr>
        <w:rFonts w:hint="eastAsia"/>
      </w:rPr>
    </w:lvl>
  </w:abstractNum>
  <w:abstractNum w:abstractNumId="16">
    <w:nsid w:val="7544C954"/>
    <w:multiLevelType w:val="singleLevel"/>
    <w:tmpl w:val="7544C954"/>
    <w:lvl w:ilvl="0" w:tentative="0">
      <w:start w:val="2"/>
      <w:numFmt w:val="decimal"/>
      <w:lvlText w:val="%1."/>
      <w:lvlJc w:val="left"/>
      <w:pPr>
        <w:tabs>
          <w:tab w:val="left" w:pos="312"/>
        </w:tabs>
      </w:pPr>
    </w:lvl>
  </w:abstractNum>
  <w:abstractNum w:abstractNumId="17">
    <w:nsid w:val="7B5C469D"/>
    <w:multiLevelType w:val="multilevel"/>
    <w:tmpl w:val="7B5C469D"/>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6"/>
  </w:num>
  <w:num w:numId="3">
    <w:abstractNumId w:val="10"/>
  </w:num>
  <w:num w:numId="4">
    <w:abstractNumId w:val="3"/>
  </w:num>
  <w:num w:numId="5">
    <w:abstractNumId w:val="15"/>
  </w:num>
  <w:num w:numId="6">
    <w:abstractNumId w:val="12"/>
  </w:num>
  <w:num w:numId="7">
    <w:abstractNumId w:val="11"/>
  </w:num>
  <w:num w:numId="8">
    <w:abstractNumId w:val="14"/>
  </w:num>
  <w:num w:numId="9">
    <w:abstractNumId w:val="2"/>
  </w:num>
  <w:num w:numId="10">
    <w:abstractNumId w:val="13"/>
  </w:num>
  <w:num w:numId="11">
    <w:abstractNumId w:val="1"/>
  </w:num>
  <w:num w:numId="12">
    <w:abstractNumId w:val="16"/>
  </w:num>
  <w:num w:numId="13">
    <w:abstractNumId w:val="8"/>
  </w:num>
  <w:num w:numId="14">
    <w:abstractNumId w:val="9"/>
  </w:num>
  <w:num w:numId="15">
    <w:abstractNumId w:val="17"/>
  </w:num>
  <w:num w:numId="16">
    <w:abstractNumId w:val="5"/>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2YyZDdhN2MxNTdhMTdkODU3MTA3ZjAyMWE0YWI1N2QifQ=="/>
  </w:docVars>
  <w:rsids>
    <w:rsidRoot w:val="008B7331"/>
    <w:rsid w:val="000065E3"/>
    <w:rsid w:val="00007731"/>
    <w:rsid w:val="00053938"/>
    <w:rsid w:val="00071A77"/>
    <w:rsid w:val="00074DBA"/>
    <w:rsid w:val="00087A11"/>
    <w:rsid w:val="00092C5A"/>
    <w:rsid w:val="000B3E49"/>
    <w:rsid w:val="00100B45"/>
    <w:rsid w:val="0010744B"/>
    <w:rsid w:val="00126F7D"/>
    <w:rsid w:val="00174A0F"/>
    <w:rsid w:val="00185C11"/>
    <w:rsid w:val="001A0BCE"/>
    <w:rsid w:val="001A33C6"/>
    <w:rsid w:val="001D0888"/>
    <w:rsid w:val="001E1F6D"/>
    <w:rsid w:val="002067E5"/>
    <w:rsid w:val="00213822"/>
    <w:rsid w:val="002637DD"/>
    <w:rsid w:val="002D3709"/>
    <w:rsid w:val="003249CA"/>
    <w:rsid w:val="003355B1"/>
    <w:rsid w:val="003357C8"/>
    <w:rsid w:val="003425C1"/>
    <w:rsid w:val="00386510"/>
    <w:rsid w:val="003B023E"/>
    <w:rsid w:val="003E6509"/>
    <w:rsid w:val="003F5B09"/>
    <w:rsid w:val="0043075D"/>
    <w:rsid w:val="00444B1C"/>
    <w:rsid w:val="00454E1B"/>
    <w:rsid w:val="0049064A"/>
    <w:rsid w:val="004D4BD2"/>
    <w:rsid w:val="004F1467"/>
    <w:rsid w:val="0051089B"/>
    <w:rsid w:val="00555BF2"/>
    <w:rsid w:val="005649C1"/>
    <w:rsid w:val="00576C0E"/>
    <w:rsid w:val="005B4B89"/>
    <w:rsid w:val="005D5871"/>
    <w:rsid w:val="005F7B84"/>
    <w:rsid w:val="006239DC"/>
    <w:rsid w:val="00635C7F"/>
    <w:rsid w:val="006456C1"/>
    <w:rsid w:val="00666528"/>
    <w:rsid w:val="006706D1"/>
    <w:rsid w:val="006C15B0"/>
    <w:rsid w:val="006E0B26"/>
    <w:rsid w:val="007166EA"/>
    <w:rsid w:val="00770A69"/>
    <w:rsid w:val="00790CC7"/>
    <w:rsid w:val="007A1DEA"/>
    <w:rsid w:val="007E6EB8"/>
    <w:rsid w:val="007F07B3"/>
    <w:rsid w:val="007F6384"/>
    <w:rsid w:val="008219C6"/>
    <w:rsid w:val="008601FA"/>
    <w:rsid w:val="00861F09"/>
    <w:rsid w:val="00862E6C"/>
    <w:rsid w:val="00865513"/>
    <w:rsid w:val="00872487"/>
    <w:rsid w:val="008B6CFA"/>
    <w:rsid w:val="008B7331"/>
    <w:rsid w:val="008C01FC"/>
    <w:rsid w:val="008D0CC2"/>
    <w:rsid w:val="008E1D99"/>
    <w:rsid w:val="008F37CC"/>
    <w:rsid w:val="00907094"/>
    <w:rsid w:val="00913BB5"/>
    <w:rsid w:val="00923E15"/>
    <w:rsid w:val="009362CF"/>
    <w:rsid w:val="00974221"/>
    <w:rsid w:val="00977155"/>
    <w:rsid w:val="0099021F"/>
    <w:rsid w:val="009C78EF"/>
    <w:rsid w:val="009E444E"/>
    <w:rsid w:val="00A132EF"/>
    <w:rsid w:val="00A436F1"/>
    <w:rsid w:val="00A46E7D"/>
    <w:rsid w:val="00AB1F45"/>
    <w:rsid w:val="00AC2771"/>
    <w:rsid w:val="00AF034C"/>
    <w:rsid w:val="00B46E65"/>
    <w:rsid w:val="00B61AE2"/>
    <w:rsid w:val="00B6615F"/>
    <w:rsid w:val="00B7471D"/>
    <w:rsid w:val="00BA4B51"/>
    <w:rsid w:val="00C17C2B"/>
    <w:rsid w:val="00C30D0B"/>
    <w:rsid w:val="00C7792E"/>
    <w:rsid w:val="00CA60B2"/>
    <w:rsid w:val="00CB2EA8"/>
    <w:rsid w:val="00D532FC"/>
    <w:rsid w:val="00D6687C"/>
    <w:rsid w:val="00DA4951"/>
    <w:rsid w:val="00E43E07"/>
    <w:rsid w:val="00E56383"/>
    <w:rsid w:val="00E70EDD"/>
    <w:rsid w:val="00E86B1E"/>
    <w:rsid w:val="00E94DE9"/>
    <w:rsid w:val="00EA1540"/>
    <w:rsid w:val="00ED1EBD"/>
    <w:rsid w:val="00EF226D"/>
    <w:rsid w:val="00F16385"/>
    <w:rsid w:val="00F23435"/>
    <w:rsid w:val="00F56A3E"/>
    <w:rsid w:val="00F72F1A"/>
    <w:rsid w:val="00F7444E"/>
    <w:rsid w:val="00F773CB"/>
    <w:rsid w:val="00FE0108"/>
    <w:rsid w:val="00FE1149"/>
    <w:rsid w:val="00FE4F88"/>
    <w:rsid w:val="00FE593A"/>
    <w:rsid w:val="00FF4263"/>
    <w:rsid w:val="027C6D8F"/>
    <w:rsid w:val="028D2630"/>
    <w:rsid w:val="030B27EE"/>
    <w:rsid w:val="038A4103"/>
    <w:rsid w:val="03FB0B81"/>
    <w:rsid w:val="05DE5D14"/>
    <w:rsid w:val="08E75EC9"/>
    <w:rsid w:val="09527370"/>
    <w:rsid w:val="09D748CF"/>
    <w:rsid w:val="0DD37BAC"/>
    <w:rsid w:val="0EC80BAC"/>
    <w:rsid w:val="0FAB7138"/>
    <w:rsid w:val="106B1D88"/>
    <w:rsid w:val="117A3445"/>
    <w:rsid w:val="12D4498C"/>
    <w:rsid w:val="14DE623C"/>
    <w:rsid w:val="15530E58"/>
    <w:rsid w:val="16574E2B"/>
    <w:rsid w:val="169C3FC8"/>
    <w:rsid w:val="175D6185"/>
    <w:rsid w:val="1B830CA2"/>
    <w:rsid w:val="1C3161E0"/>
    <w:rsid w:val="1E01086B"/>
    <w:rsid w:val="1E496D85"/>
    <w:rsid w:val="203F5E7C"/>
    <w:rsid w:val="205D43FA"/>
    <w:rsid w:val="214C5246"/>
    <w:rsid w:val="22F44DEB"/>
    <w:rsid w:val="239D3A89"/>
    <w:rsid w:val="24C04542"/>
    <w:rsid w:val="24FC4FA2"/>
    <w:rsid w:val="260C6517"/>
    <w:rsid w:val="26F21E51"/>
    <w:rsid w:val="27870AED"/>
    <w:rsid w:val="29EA6E87"/>
    <w:rsid w:val="2B0E4A11"/>
    <w:rsid w:val="2B77191E"/>
    <w:rsid w:val="2DC935D5"/>
    <w:rsid w:val="2E891711"/>
    <w:rsid w:val="2EAA6AF5"/>
    <w:rsid w:val="2EC80566"/>
    <w:rsid w:val="32C31BC8"/>
    <w:rsid w:val="34E94794"/>
    <w:rsid w:val="35386478"/>
    <w:rsid w:val="39007C46"/>
    <w:rsid w:val="399D05F8"/>
    <w:rsid w:val="39A33C73"/>
    <w:rsid w:val="3BE62C8E"/>
    <w:rsid w:val="3FC53AAA"/>
    <w:rsid w:val="435D4CD1"/>
    <w:rsid w:val="44F205B5"/>
    <w:rsid w:val="44FD4928"/>
    <w:rsid w:val="45545F51"/>
    <w:rsid w:val="4560207E"/>
    <w:rsid w:val="48231821"/>
    <w:rsid w:val="49D042C4"/>
    <w:rsid w:val="4AC963B2"/>
    <w:rsid w:val="4BF83E7D"/>
    <w:rsid w:val="4CAC19FE"/>
    <w:rsid w:val="4E084956"/>
    <w:rsid w:val="4E3C76DF"/>
    <w:rsid w:val="501B2AEA"/>
    <w:rsid w:val="50C80836"/>
    <w:rsid w:val="51B42CDD"/>
    <w:rsid w:val="53831A46"/>
    <w:rsid w:val="591A1C4E"/>
    <w:rsid w:val="596742A7"/>
    <w:rsid w:val="5968239F"/>
    <w:rsid w:val="5D3C2089"/>
    <w:rsid w:val="5E0747F7"/>
    <w:rsid w:val="61BD767D"/>
    <w:rsid w:val="65D30758"/>
    <w:rsid w:val="67630D35"/>
    <w:rsid w:val="67A71CAE"/>
    <w:rsid w:val="6A8F41AD"/>
    <w:rsid w:val="6C286E1E"/>
    <w:rsid w:val="6C562907"/>
    <w:rsid w:val="6E5D529D"/>
    <w:rsid w:val="6E8F5029"/>
    <w:rsid w:val="71C33F74"/>
    <w:rsid w:val="71DA0A57"/>
    <w:rsid w:val="743D4508"/>
    <w:rsid w:val="75725D9D"/>
    <w:rsid w:val="763920DA"/>
    <w:rsid w:val="77DE63FF"/>
    <w:rsid w:val="7A6C43E1"/>
    <w:rsid w:val="7C356BAC"/>
    <w:rsid w:val="7E1878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8"/>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5">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30"/>
    </w:rPr>
  </w:style>
  <w:style w:type="paragraph" w:styleId="6">
    <w:name w:val="Balloon Text"/>
    <w:basedOn w:val="1"/>
    <w:link w:val="16"/>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0">
    <w:name w:val="toc 2"/>
    <w:basedOn w:val="1"/>
    <w:next w:val="1"/>
    <w:unhideWhenUsed/>
    <w:qFormat/>
    <w:uiPriority w:val="39"/>
    <w:pPr>
      <w:tabs>
        <w:tab w:val="right" w:leader="dot" w:pos="8296"/>
      </w:tabs>
      <w:ind w:left="420" w:leftChars="200"/>
    </w:pPr>
  </w:style>
  <w:style w:type="character" w:styleId="13">
    <w:name w:val="Strong"/>
    <w:basedOn w:val="12"/>
    <w:qFormat/>
    <w:uiPriority w:val="99"/>
    <w:rPr>
      <w:b/>
    </w:rPr>
  </w:style>
  <w:style w:type="character" w:styleId="14">
    <w:name w:val="Hyperlink"/>
    <w:basedOn w:val="12"/>
    <w:unhideWhenUsed/>
    <w:qFormat/>
    <w:uiPriority w:val="99"/>
    <w:rPr>
      <w:color w:val="0000FF"/>
      <w:u w:val="single"/>
    </w:rPr>
  </w:style>
  <w:style w:type="paragraph" w:customStyle="1" w:styleId="15">
    <w:name w:val="List Paragraph"/>
    <w:basedOn w:val="1"/>
    <w:qFormat/>
    <w:uiPriority w:val="34"/>
    <w:pPr>
      <w:ind w:firstLine="420" w:firstLineChars="200"/>
    </w:pPr>
  </w:style>
  <w:style w:type="character" w:customStyle="1" w:styleId="16">
    <w:name w:val="批注框文本 Char"/>
    <w:basedOn w:val="12"/>
    <w:link w:val="6"/>
    <w:semiHidden/>
    <w:qFormat/>
    <w:uiPriority w:val="99"/>
    <w:rPr>
      <w:rFonts w:ascii="Times New Roman" w:hAnsi="Times New Roman" w:eastAsia="宋体" w:cs="Times New Roman"/>
      <w:sz w:val="18"/>
      <w:szCs w:val="18"/>
    </w:rPr>
  </w:style>
  <w:style w:type="character" w:customStyle="1" w:styleId="17">
    <w:name w:val="标题 1 Char"/>
    <w:basedOn w:val="12"/>
    <w:link w:val="3"/>
    <w:qFormat/>
    <w:uiPriority w:val="9"/>
    <w:rPr>
      <w:rFonts w:ascii="Times New Roman" w:hAnsi="Times New Roman" w:eastAsia="宋体" w:cs="Times New Roman"/>
      <w:b/>
      <w:bCs/>
      <w:kern w:val="44"/>
      <w:sz w:val="44"/>
      <w:szCs w:val="44"/>
    </w:rPr>
  </w:style>
  <w:style w:type="character" w:customStyle="1" w:styleId="18">
    <w:name w:val="标题 2 Char"/>
    <w:basedOn w:val="12"/>
    <w:link w:val="4"/>
    <w:qFormat/>
    <w:uiPriority w:val="9"/>
    <w:rPr>
      <w:rFonts w:ascii="Cambria" w:hAnsi="Cambria" w:eastAsia="宋体" w:cs="黑体"/>
      <w:b/>
      <w:bCs/>
      <w:sz w:val="32"/>
      <w:szCs w:val="32"/>
    </w:rPr>
  </w:style>
  <w:style w:type="character" w:customStyle="1" w:styleId="19">
    <w:name w:val="页眉 Char"/>
    <w:basedOn w:val="12"/>
    <w:link w:val="8"/>
    <w:semiHidden/>
    <w:qFormat/>
    <w:uiPriority w:val="99"/>
    <w:rPr>
      <w:rFonts w:ascii="Times New Roman" w:hAnsi="Times New Roman" w:eastAsia="宋体" w:cs="Times New Roman"/>
      <w:sz w:val="18"/>
      <w:szCs w:val="18"/>
    </w:rPr>
  </w:style>
  <w:style w:type="character" w:customStyle="1" w:styleId="20">
    <w:name w:val="页脚 Char"/>
    <w:basedOn w:val="12"/>
    <w:link w:val="7"/>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19723</Words>
  <Characters>20830</Characters>
  <Lines>81</Lines>
  <Paragraphs>22</Paragraphs>
  <TotalTime>0</TotalTime>
  <ScaleCrop>false</ScaleCrop>
  <LinksUpToDate>false</LinksUpToDate>
  <CharactersWithSpaces>20944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2019-08-16T03:17:00Z</dcterms:created>
  <dc:creator>Administrator</dc:creator>
  <cp:lastModifiedBy>刘琴</cp:lastModifiedBy>
  <cp:lastPrinted>2023-10-13T08:04:00Z</cp:lastPrinted>
  <dcterms:modified xsi:type="dcterms:W3CDTF">2025-05-19T09:17:22Z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371F65EDBA7344D6A0A319921060FC7C</vt:lpwstr>
  </property>
  <property fmtid="{D5CDD505-2E9C-101B-9397-08002B2CF9AE}" pid="4" name="KSOTemplateDocerSaveRecord">
    <vt:lpwstr>eyJoZGlkIjoiY2RiY2RhYmI4NzM4NjUyNjhhNTU1ZDBmYTBhYjQxNTgiLCJ1c2VySWQiOiIxMjk2NTU0ODQ3In0=</vt:lpwstr>
  </property>
</Properties>
</file>