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eastAsia="方正小标宋简体"/>
          <w:color w:val="000000"/>
          <w:sz w:val="72"/>
          <w:szCs w:val="72"/>
        </w:rPr>
      </w:pPr>
      <w:bookmarkStart w:id="0" w:name="_Toc15306267"/>
    </w:p>
    <w:p>
      <w:pPr>
        <w:spacing w:line="600" w:lineRule="exact"/>
        <w:jc w:val="center"/>
        <w:outlineLvl w:val="0"/>
        <w:rPr>
          <w:rFonts w:eastAsia="方正小标宋简体"/>
          <w:color w:val="000000"/>
          <w:sz w:val="72"/>
          <w:szCs w:val="72"/>
        </w:rPr>
      </w:pPr>
    </w:p>
    <w:p>
      <w:pPr>
        <w:spacing w:line="600" w:lineRule="exact"/>
        <w:jc w:val="center"/>
        <w:outlineLvl w:val="0"/>
        <w:rPr>
          <w:rFonts w:eastAsia="方正小标宋简体"/>
          <w:color w:val="000000"/>
          <w:sz w:val="72"/>
          <w:szCs w:val="72"/>
        </w:rPr>
      </w:pPr>
    </w:p>
    <w:p>
      <w:pPr>
        <w:spacing w:line="600" w:lineRule="exact"/>
        <w:jc w:val="center"/>
        <w:outlineLvl w:val="0"/>
        <w:rPr>
          <w:rFonts w:eastAsia="方正小标宋简体"/>
          <w:color w:val="000000"/>
          <w:sz w:val="72"/>
          <w:szCs w:val="72"/>
        </w:rPr>
      </w:pPr>
    </w:p>
    <w:bookmarkEnd w:id="0"/>
    <w:p>
      <w:pPr>
        <w:adjustRightInd w:val="0"/>
        <w:snapToGrid w:val="0"/>
        <w:spacing w:line="1200" w:lineRule="exact"/>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w:t>
      </w:r>
      <w:r>
        <w:rPr>
          <w:rFonts w:hint="eastAsia" w:ascii="黑体" w:hAnsi="黑体" w:eastAsia="黑体"/>
          <w:color w:val="000000"/>
          <w:sz w:val="72"/>
          <w:szCs w:val="72"/>
        </w:rPr>
        <w:t>22</w:t>
      </w:r>
      <w:r>
        <w:rPr>
          <w:rFonts w:hint="eastAsia" w:ascii="方正小标宋简体" w:hAnsi="宋体" w:eastAsia="方正小标宋简体"/>
          <w:color w:val="000000"/>
          <w:sz w:val="72"/>
          <w:szCs w:val="72"/>
        </w:rPr>
        <w:t>年度</w:t>
      </w:r>
    </w:p>
    <w:p>
      <w:pPr>
        <w:adjustRightInd w:val="0"/>
        <w:snapToGrid w:val="0"/>
        <w:spacing w:line="1200" w:lineRule="exact"/>
        <w:jc w:val="center"/>
        <w:outlineLvl w:val="0"/>
        <w:rPr>
          <w:rFonts w:eastAsia="方正小标宋简体"/>
          <w:color w:val="000000"/>
          <w:sz w:val="72"/>
          <w:szCs w:val="72"/>
        </w:rPr>
      </w:pPr>
      <w:bookmarkStart w:id="1" w:name="_Toc23278"/>
      <w:bookmarkStart w:id="2" w:name="_Toc48743006"/>
      <w:bookmarkStart w:id="3" w:name="_Toc48743077"/>
      <w:bookmarkStart w:id="4" w:name="_Toc15396476"/>
      <w:bookmarkStart w:id="5" w:name="_Toc48743788"/>
      <w:bookmarkStart w:id="6" w:name="_Toc15306268"/>
      <w:bookmarkStart w:id="7" w:name="_Toc30630"/>
      <w:bookmarkStart w:id="8" w:name="_Toc10255"/>
      <w:bookmarkStart w:id="9" w:name="_Toc9022"/>
      <w:bookmarkStart w:id="10" w:name="_Toc15396598"/>
      <w:bookmarkStart w:id="11" w:name="_Toc48743187"/>
      <w:bookmarkStart w:id="12" w:name="_Toc15377426"/>
      <w:bookmarkStart w:id="13" w:name="_Toc15378442"/>
      <w:bookmarkStart w:id="14" w:name="_Toc25204"/>
      <w:bookmarkStart w:id="15" w:name="_Toc31381"/>
      <w:bookmarkStart w:id="16" w:name="_Toc15377194"/>
      <w:r>
        <w:rPr>
          <w:rFonts w:hint="eastAsia" w:ascii="方正小标宋简体" w:hAnsi="宋体" w:eastAsia="方正小标宋简体"/>
          <w:color w:val="000000"/>
          <w:sz w:val="72"/>
          <w:szCs w:val="72"/>
        </w:rPr>
        <w:t>残联部门决算</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eastAsia="方正小标宋简体"/>
          <w:color w:val="000000"/>
          <w:sz w:val="72"/>
          <w:szCs w:val="72"/>
        </w:rPr>
        <w:t>编制说明</w:t>
      </w:r>
    </w:p>
    <w:p>
      <w:pPr>
        <w:adjustRightInd w:val="0"/>
        <w:snapToGrid w:val="0"/>
        <w:spacing w:line="360" w:lineRule="auto"/>
        <w:jc w:val="center"/>
        <w:outlineLvl w:val="0"/>
        <w:rPr>
          <w:rFonts w:eastAsia="方正小标宋简体"/>
          <w:color w:val="000000"/>
          <w:sz w:val="52"/>
          <w:szCs w:val="52"/>
        </w:rPr>
      </w:pPr>
    </w:p>
    <w:p>
      <w:pPr>
        <w:widowControl/>
        <w:jc w:val="center"/>
        <w:rPr>
          <w:rFonts w:eastAsia="黑体"/>
          <w:color w:val="000000"/>
          <w:sz w:val="48"/>
          <w:szCs w:val="48"/>
        </w:rPr>
      </w:pPr>
    </w:p>
    <w:p/>
    <w:p/>
    <w:p/>
    <w:p/>
    <w:p/>
    <w:p/>
    <w:p/>
    <w:p>
      <w:pPr>
        <w:tabs>
          <w:tab w:val="left" w:pos="5738"/>
        </w:tabs>
        <w:jc w:val="left"/>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titlePg/>
          <w:docGrid w:type="lines" w:linePitch="312" w:charSpace="0"/>
        </w:sectPr>
      </w:pPr>
      <w:r>
        <w:tab/>
      </w:r>
    </w:p>
    <w:p>
      <w:pPr>
        <w:widowControl/>
        <w:jc w:val="center"/>
        <w:rPr>
          <w:rFonts w:eastAsia="黑体"/>
          <w:color w:val="000000"/>
          <w:sz w:val="48"/>
          <w:szCs w:val="48"/>
        </w:rPr>
      </w:pPr>
      <w:r>
        <w:rPr>
          <w:rFonts w:eastAsia="黑体"/>
          <w:color w:val="000000"/>
          <w:sz w:val="48"/>
          <w:szCs w:val="48"/>
        </w:rPr>
        <w:t>目录</w:t>
      </w:r>
    </w:p>
    <w:p>
      <w:pPr>
        <w:widowControl/>
        <w:jc w:val="center"/>
        <w:rPr>
          <w:rFonts w:eastAsia="黑体"/>
          <w:sz w:val="28"/>
          <w:szCs w:val="28"/>
        </w:rPr>
      </w:pPr>
    </w:p>
    <w:p>
      <w:pPr>
        <w:pStyle w:val="11"/>
        <w:rPr>
          <w:rFonts w:ascii="Times New Roman" w:hAnsi="Times New Roman"/>
        </w:rPr>
      </w:pPr>
      <w:r>
        <w:rPr>
          <w:rFonts w:ascii="Times New Roman" w:hAnsi="Times New Roman"/>
        </w:rPr>
        <w:t>公开时间：2023年</w:t>
      </w:r>
      <w:r>
        <w:rPr>
          <w:rFonts w:hint="eastAsia" w:ascii="Times New Roman" w:hAnsi="Times New Roman"/>
        </w:rPr>
        <w:t>10</w:t>
      </w:r>
      <w:r>
        <w:rPr>
          <w:rFonts w:ascii="Times New Roman" w:hAnsi="Times New Roman"/>
        </w:rPr>
        <w:t>月</w:t>
      </w:r>
      <w:r>
        <w:rPr>
          <w:rFonts w:hint="eastAsia" w:ascii="Times New Roman" w:hAnsi="Times New Roman"/>
        </w:rPr>
        <w:t>26</w:t>
      </w:r>
      <w:r>
        <w:rPr>
          <w:rFonts w:ascii="Times New Roman" w:hAnsi="Times New Roman"/>
        </w:rPr>
        <w:t>日</w:t>
      </w:r>
    </w:p>
    <w:p>
      <w:pPr>
        <w:pStyle w:val="11"/>
        <w:adjustRightInd w:val="0"/>
        <w:snapToGrid w:val="0"/>
        <w:spacing w:before="0" w:line="440" w:lineRule="exact"/>
        <w:jc w:val="left"/>
        <w:rPr>
          <w:rFonts w:ascii="Times New Roman" w:hAnsi="Times New Roman"/>
          <w:sz w:val="24"/>
          <w:szCs w:val="24"/>
        </w:rPr>
      </w:pPr>
      <w:r>
        <w:rPr>
          <w:rFonts w:ascii="Times New Roman" w:hAnsi="Times New Roman"/>
          <w:sz w:val="24"/>
        </w:rPr>
        <w:t>第一部分 部门概况</w:t>
      </w:r>
      <w:r>
        <w:rPr>
          <w:rFonts w:hint="eastAsia" w:ascii="Times New Roman" w:hAnsi="Times New Roman"/>
          <w:sz w:val="24"/>
        </w:rPr>
        <w:tab/>
      </w:r>
      <w:r>
        <w:rPr>
          <w:rFonts w:hint="eastAsia" w:ascii="Times New Roman" w:hAnsi="Times New Roman"/>
          <w:sz w:val="24"/>
        </w:rPr>
        <w:t>4</w:t>
      </w:r>
    </w:p>
    <w:p>
      <w:pPr>
        <w:pStyle w:val="12"/>
        <w:adjustRightInd w:val="0"/>
        <w:snapToGrid w:val="0"/>
        <w:spacing w:line="440" w:lineRule="exact"/>
        <w:jc w:val="left"/>
        <w:rPr>
          <w:rFonts w:eastAsia="仿宋"/>
          <w:sz w:val="24"/>
        </w:rPr>
      </w:pPr>
      <w:r>
        <w:rPr>
          <w:sz w:val="24"/>
        </w:rPr>
        <w:t>一、基本职能及主要工作</w:t>
      </w:r>
      <w:r>
        <w:rPr>
          <w:rFonts w:hint="eastAsia"/>
          <w:sz w:val="24"/>
        </w:rPr>
        <w:tab/>
      </w:r>
      <w:r>
        <w:rPr>
          <w:rFonts w:hint="eastAsia"/>
          <w:sz w:val="24"/>
        </w:rPr>
        <w:t>4</w:t>
      </w:r>
    </w:p>
    <w:p>
      <w:pPr>
        <w:pStyle w:val="12"/>
        <w:adjustRightInd w:val="0"/>
        <w:snapToGrid w:val="0"/>
        <w:spacing w:line="440" w:lineRule="exact"/>
        <w:jc w:val="left"/>
        <w:rPr>
          <w:rFonts w:eastAsia="仿宋"/>
          <w:sz w:val="24"/>
        </w:rPr>
      </w:pPr>
      <w:r>
        <w:rPr>
          <w:sz w:val="24"/>
        </w:rPr>
        <w:t>二、机构设置</w:t>
      </w:r>
      <w:r>
        <w:rPr>
          <w:rFonts w:hint="eastAsia"/>
          <w:sz w:val="24"/>
        </w:rPr>
        <w:tab/>
      </w:r>
      <w:r>
        <w:rPr>
          <w:rFonts w:hint="eastAsia"/>
          <w:sz w:val="24"/>
        </w:rPr>
        <w:t>5</w:t>
      </w:r>
    </w:p>
    <w:p>
      <w:pPr>
        <w:pStyle w:val="11"/>
        <w:adjustRightInd w:val="0"/>
        <w:snapToGrid w:val="0"/>
        <w:spacing w:before="0" w:line="440" w:lineRule="exact"/>
        <w:jc w:val="left"/>
        <w:rPr>
          <w:rFonts w:ascii="Times New Roman" w:hAnsi="Times New Roman"/>
          <w:sz w:val="24"/>
          <w:szCs w:val="24"/>
        </w:rPr>
      </w:pPr>
      <w:r>
        <w:rPr>
          <w:rFonts w:ascii="Times New Roman" w:hAnsi="Times New Roman"/>
          <w:sz w:val="24"/>
        </w:rPr>
        <w:t>第二部分 2022年度部门决算情况说明</w:t>
      </w:r>
      <w:r>
        <w:rPr>
          <w:rFonts w:hint="eastAsia" w:ascii="Times New Roman" w:hAnsi="Times New Roman"/>
          <w:sz w:val="24"/>
        </w:rPr>
        <w:tab/>
      </w:r>
      <w:r>
        <w:rPr>
          <w:rFonts w:hint="eastAsia" w:ascii="Times New Roman" w:hAnsi="Times New Roman"/>
          <w:sz w:val="24"/>
        </w:rPr>
        <w:t>6</w:t>
      </w:r>
    </w:p>
    <w:p>
      <w:pPr>
        <w:pStyle w:val="12"/>
        <w:adjustRightInd w:val="0"/>
        <w:snapToGrid w:val="0"/>
        <w:spacing w:line="440" w:lineRule="exact"/>
        <w:jc w:val="left"/>
        <w:rPr>
          <w:rFonts w:eastAsia="仿宋"/>
          <w:sz w:val="24"/>
        </w:rPr>
      </w:pPr>
      <w:r>
        <w:rPr>
          <w:sz w:val="24"/>
        </w:rPr>
        <w:t>一、收入支出决算总体情况说明</w:t>
      </w:r>
      <w:r>
        <w:rPr>
          <w:rFonts w:hint="eastAsia"/>
          <w:sz w:val="24"/>
        </w:rPr>
        <w:tab/>
      </w:r>
      <w:r>
        <w:rPr>
          <w:rFonts w:hint="eastAsia"/>
          <w:sz w:val="24"/>
        </w:rPr>
        <w:t>6</w:t>
      </w:r>
    </w:p>
    <w:p>
      <w:pPr>
        <w:pStyle w:val="12"/>
        <w:adjustRightInd w:val="0"/>
        <w:snapToGrid w:val="0"/>
        <w:spacing w:line="440" w:lineRule="exact"/>
        <w:jc w:val="left"/>
        <w:rPr>
          <w:rFonts w:eastAsia="仿宋"/>
          <w:sz w:val="24"/>
        </w:rPr>
      </w:pPr>
      <w:r>
        <w:rPr>
          <w:sz w:val="24"/>
        </w:rPr>
        <w:t>二、收入决算情况说明</w:t>
      </w:r>
      <w:r>
        <w:rPr>
          <w:rFonts w:hint="eastAsia"/>
          <w:sz w:val="24"/>
        </w:rPr>
        <w:tab/>
      </w:r>
      <w:r>
        <w:rPr>
          <w:rFonts w:hint="eastAsia"/>
          <w:sz w:val="24"/>
        </w:rPr>
        <w:t>7</w:t>
      </w:r>
    </w:p>
    <w:p>
      <w:pPr>
        <w:pStyle w:val="12"/>
        <w:adjustRightInd w:val="0"/>
        <w:snapToGrid w:val="0"/>
        <w:spacing w:line="440" w:lineRule="exact"/>
        <w:jc w:val="left"/>
        <w:rPr>
          <w:rFonts w:eastAsia="仿宋"/>
          <w:sz w:val="24"/>
        </w:rPr>
      </w:pPr>
      <w:r>
        <w:rPr>
          <w:sz w:val="24"/>
        </w:rPr>
        <w:t>三、支出决算情况说明</w:t>
      </w:r>
      <w:r>
        <w:rPr>
          <w:rFonts w:hint="eastAsia"/>
          <w:sz w:val="24"/>
        </w:rPr>
        <w:tab/>
      </w:r>
      <w:r>
        <w:rPr>
          <w:rFonts w:hint="eastAsia"/>
          <w:sz w:val="24"/>
        </w:rPr>
        <w:t>8</w:t>
      </w:r>
    </w:p>
    <w:p>
      <w:pPr>
        <w:pStyle w:val="12"/>
        <w:adjustRightInd w:val="0"/>
        <w:snapToGrid w:val="0"/>
        <w:spacing w:line="440" w:lineRule="exact"/>
        <w:jc w:val="left"/>
        <w:rPr>
          <w:rFonts w:eastAsia="仿宋"/>
          <w:sz w:val="24"/>
        </w:rPr>
      </w:pPr>
      <w:r>
        <w:rPr>
          <w:sz w:val="24"/>
        </w:rPr>
        <w:t>四、财政拨款收入支出决算总体情况说明</w:t>
      </w:r>
      <w:r>
        <w:rPr>
          <w:rFonts w:hint="eastAsia"/>
          <w:sz w:val="24"/>
        </w:rPr>
        <w:tab/>
      </w:r>
      <w:r>
        <w:rPr>
          <w:rFonts w:hint="eastAsia"/>
          <w:sz w:val="24"/>
        </w:rPr>
        <w:t>8</w:t>
      </w:r>
    </w:p>
    <w:p>
      <w:pPr>
        <w:pStyle w:val="12"/>
        <w:adjustRightInd w:val="0"/>
        <w:snapToGrid w:val="0"/>
        <w:spacing w:line="440" w:lineRule="exact"/>
        <w:jc w:val="left"/>
        <w:rPr>
          <w:rFonts w:eastAsia="仿宋"/>
          <w:sz w:val="24"/>
        </w:rPr>
      </w:pPr>
      <w:r>
        <w:rPr>
          <w:sz w:val="24"/>
        </w:rPr>
        <w:t>五、一般公共预算财政拨款支出决算情况说明</w:t>
      </w:r>
      <w:r>
        <w:rPr>
          <w:rFonts w:hint="eastAsia"/>
          <w:sz w:val="24"/>
        </w:rPr>
        <w:tab/>
      </w:r>
      <w:r>
        <w:rPr>
          <w:rFonts w:hint="eastAsia"/>
          <w:sz w:val="24"/>
        </w:rPr>
        <w:t>9</w:t>
      </w:r>
    </w:p>
    <w:p>
      <w:pPr>
        <w:pStyle w:val="12"/>
        <w:adjustRightInd w:val="0"/>
        <w:snapToGrid w:val="0"/>
        <w:spacing w:line="440" w:lineRule="exact"/>
        <w:jc w:val="left"/>
        <w:rPr>
          <w:sz w:val="24"/>
        </w:rPr>
      </w:pPr>
      <w:r>
        <w:rPr>
          <w:sz w:val="24"/>
        </w:rPr>
        <w:t>六、一般公共预算财政拨款基本支出决算情况说明</w:t>
      </w:r>
      <w:r>
        <w:rPr>
          <w:rFonts w:hint="eastAsia"/>
          <w:sz w:val="24"/>
        </w:rPr>
        <w:tab/>
      </w:r>
      <w:r>
        <w:rPr>
          <w:rFonts w:hint="eastAsia"/>
          <w:sz w:val="24"/>
        </w:rPr>
        <w:t>12</w:t>
      </w:r>
    </w:p>
    <w:p>
      <w:pPr>
        <w:pStyle w:val="12"/>
        <w:adjustRightInd w:val="0"/>
        <w:snapToGrid w:val="0"/>
        <w:spacing w:line="440" w:lineRule="exact"/>
        <w:jc w:val="left"/>
      </w:pPr>
      <w:r>
        <w:rPr>
          <w:sz w:val="24"/>
        </w:rPr>
        <w:t>七、一般公共预算财政拨款项目支出决算情况说明</w:t>
      </w:r>
      <w:r>
        <w:rPr>
          <w:rFonts w:hint="eastAsia"/>
          <w:sz w:val="24"/>
        </w:rPr>
        <w:tab/>
      </w:r>
      <w:r>
        <w:rPr>
          <w:rFonts w:hint="eastAsia"/>
          <w:sz w:val="24"/>
        </w:rPr>
        <w:t>12</w:t>
      </w:r>
    </w:p>
    <w:p>
      <w:pPr>
        <w:pStyle w:val="12"/>
        <w:adjustRightInd w:val="0"/>
        <w:snapToGrid w:val="0"/>
        <w:spacing w:line="440" w:lineRule="exact"/>
        <w:jc w:val="left"/>
        <w:rPr>
          <w:rFonts w:eastAsia="仿宋"/>
          <w:sz w:val="24"/>
        </w:rPr>
      </w:pPr>
      <w:r>
        <w:rPr>
          <w:sz w:val="24"/>
        </w:rPr>
        <w:t>八、财政拨款“三公”经费支出决算情况说明</w:t>
      </w:r>
      <w:r>
        <w:rPr>
          <w:rFonts w:hint="eastAsia"/>
          <w:sz w:val="24"/>
        </w:rPr>
        <w:tab/>
      </w:r>
      <w:r>
        <w:rPr>
          <w:rFonts w:hint="eastAsia"/>
          <w:sz w:val="24"/>
        </w:rPr>
        <w:t>13</w:t>
      </w:r>
    </w:p>
    <w:p>
      <w:pPr>
        <w:pStyle w:val="12"/>
        <w:adjustRightInd w:val="0"/>
        <w:snapToGrid w:val="0"/>
        <w:spacing w:line="440" w:lineRule="exact"/>
        <w:jc w:val="left"/>
        <w:rPr>
          <w:rFonts w:eastAsia="仿宋"/>
          <w:sz w:val="24"/>
        </w:rPr>
      </w:pPr>
      <w:r>
        <w:rPr>
          <w:sz w:val="24"/>
        </w:rPr>
        <w:t>九、政府性基金预算支出决算情况说明</w:t>
      </w:r>
      <w:r>
        <w:rPr>
          <w:rFonts w:hint="eastAsia"/>
          <w:sz w:val="24"/>
        </w:rPr>
        <w:tab/>
      </w:r>
      <w:r>
        <w:rPr>
          <w:rFonts w:hint="eastAsia"/>
          <w:sz w:val="24"/>
        </w:rPr>
        <w:t>15</w:t>
      </w:r>
    </w:p>
    <w:p>
      <w:pPr>
        <w:pStyle w:val="12"/>
        <w:adjustRightInd w:val="0"/>
        <w:snapToGrid w:val="0"/>
        <w:spacing w:line="440" w:lineRule="exact"/>
        <w:ind w:leftChars="0"/>
        <w:jc w:val="left"/>
        <w:rPr>
          <w:rFonts w:eastAsia="仿宋"/>
          <w:sz w:val="24"/>
        </w:rPr>
      </w:pPr>
      <w:r>
        <w:rPr>
          <w:rFonts w:eastAsia="仿宋"/>
          <w:sz w:val="24"/>
        </w:rPr>
        <w:t>十、</w:t>
      </w:r>
      <w:r>
        <w:rPr>
          <w:sz w:val="24"/>
        </w:rPr>
        <w:t xml:space="preserve"> 国有资本经营预算支出决算情况说明</w:t>
      </w:r>
      <w:r>
        <w:rPr>
          <w:rFonts w:hint="eastAsia"/>
          <w:sz w:val="24"/>
        </w:rPr>
        <w:tab/>
      </w:r>
      <w:r>
        <w:rPr>
          <w:rFonts w:hint="eastAsia"/>
          <w:sz w:val="24"/>
        </w:rPr>
        <w:t>15</w:t>
      </w:r>
    </w:p>
    <w:p>
      <w:pPr>
        <w:pStyle w:val="12"/>
        <w:adjustRightInd w:val="0"/>
        <w:snapToGrid w:val="0"/>
        <w:spacing w:line="440" w:lineRule="exact"/>
        <w:ind w:leftChars="0"/>
        <w:jc w:val="left"/>
        <w:rPr>
          <w:rFonts w:eastAsia="仿宋"/>
          <w:sz w:val="24"/>
        </w:rPr>
      </w:pPr>
      <w:r>
        <w:rPr>
          <w:rFonts w:eastAsia="仿宋"/>
          <w:sz w:val="24"/>
        </w:rPr>
        <w:t>十一、其他重要事项的情况说明</w:t>
      </w:r>
      <w:r>
        <w:rPr>
          <w:rFonts w:hint="eastAsia" w:eastAsia="仿宋"/>
          <w:sz w:val="24"/>
        </w:rPr>
        <w:tab/>
      </w:r>
      <w:r>
        <w:rPr>
          <w:rFonts w:hint="eastAsia" w:eastAsia="仿宋"/>
          <w:sz w:val="24"/>
        </w:rPr>
        <w:t>15</w:t>
      </w:r>
    </w:p>
    <w:p>
      <w:pPr>
        <w:pStyle w:val="11"/>
        <w:adjustRightInd w:val="0"/>
        <w:snapToGrid w:val="0"/>
        <w:spacing w:before="0" w:line="440" w:lineRule="exact"/>
        <w:jc w:val="left"/>
        <w:rPr>
          <w:rFonts w:ascii="Times New Roman" w:hAnsi="Times New Roman"/>
          <w:sz w:val="24"/>
          <w:szCs w:val="24"/>
        </w:rPr>
      </w:pPr>
      <w:r>
        <w:rPr>
          <w:rFonts w:ascii="Times New Roman" w:hAnsi="Times New Roman"/>
          <w:sz w:val="24"/>
        </w:rPr>
        <w:t>第三部分 名词解释</w:t>
      </w:r>
      <w:r>
        <w:rPr>
          <w:rFonts w:hint="eastAsia" w:ascii="Times New Roman" w:hAnsi="Times New Roman"/>
          <w:sz w:val="24"/>
        </w:rPr>
        <w:tab/>
      </w:r>
      <w:r>
        <w:rPr>
          <w:rFonts w:hint="eastAsia" w:ascii="Times New Roman" w:hAnsi="Times New Roman"/>
          <w:sz w:val="24"/>
        </w:rPr>
        <w:t>18</w:t>
      </w:r>
    </w:p>
    <w:p>
      <w:pPr>
        <w:pStyle w:val="11"/>
        <w:adjustRightInd w:val="0"/>
        <w:snapToGrid w:val="0"/>
        <w:spacing w:before="0" w:line="440" w:lineRule="exact"/>
        <w:jc w:val="left"/>
        <w:rPr>
          <w:rFonts w:ascii="Times New Roman" w:hAnsi="Times New Roman"/>
          <w:sz w:val="24"/>
          <w:szCs w:val="24"/>
        </w:rPr>
      </w:pPr>
      <w:r>
        <w:rPr>
          <w:rFonts w:ascii="Times New Roman" w:hAnsi="Times New Roman"/>
          <w:sz w:val="24"/>
        </w:rPr>
        <w:t>第四部分 附件</w:t>
      </w:r>
      <w:r>
        <w:rPr>
          <w:rFonts w:hint="eastAsia" w:ascii="Times New Roman" w:hAnsi="Times New Roman"/>
          <w:sz w:val="24"/>
        </w:rPr>
        <w:tab/>
      </w:r>
      <w:r>
        <w:rPr>
          <w:rFonts w:hint="eastAsia" w:ascii="Times New Roman" w:hAnsi="Times New Roman"/>
          <w:sz w:val="24"/>
        </w:rPr>
        <w:t>20</w:t>
      </w:r>
    </w:p>
    <w:p>
      <w:pPr>
        <w:pStyle w:val="11"/>
        <w:adjustRightInd w:val="0"/>
        <w:snapToGrid w:val="0"/>
        <w:spacing w:before="0" w:line="440" w:lineRule="exact"/>
        <w:jc w:val="left"/>
        <w:rPr>
          <w:rFonts w:ascii="Times New Roman" w:hAnsi="Times New Roman"/>
          <w:sz w:val="24"/>
          <w:szCs w:val="24"/>
        </w:rPr>
      </w:pPr>
      <w:r>
        <w:rPr>
          <w:rFonts w:ascii="Times New Roman" w:hAnsi="Times New Roman"/>
          <w:sz w:val="24"/>
        </w:rPr>
        <w:t>第五部分 附表</w:t>
      </w:r>
      <w:r>
        <w:rPr>
          <w:rFonts w:hint="eastAsia" w:ascii="Times New Roman" w:hAnsi="Times New Roman"/>
          <w:sz w:val="24"/>
        </w:rPr>
        <w:tab/>
      </w:r>
      <w:r>
        <w:rPr>
          <w:rFonts w:hint="eastAsia" w:ascii="Times New Roman" w:hAnsi="Times New Roman"/>
          <w:sz w:val="24"/>
        </w:rPr>
        <w:t>50</w:t>
      </w:r>
    </w:p>
    <w:p>
      <w:pPr>
        <w:pStyle w:val="12"/>
        <w:adjustRightInd w:val="0"/>
        <w:snapToGrid w:val="0"/>
        <w:spacing w:line="440" w:lineRule="exact"/>
        <w:jc w:val="left"/>
        <w:rPr>
          <w:rFonts w:eastAsia="仿宋"/>
          <w:sz w:val="24"/>
        </w:rPr>
      </w:pPr>
      <w:r>
        <w:rPr>
          <w:rFonts w:eastAsia="仿宋"/>
          <w:sz w:val="24"/>
        </w:rPr>
        <w:t>一、</w:t>
      </w:r>
      <w:r>
        <w:rPr>
          <w:sz w:val="24"/>
        </w:rPr>
        <w:t>收入支出决算总表</w:t>
      </w:r>
      <w:r>
        <w:rPr>
          <w:rFonts w:hint="eastAsia"/>
          <w:sz w:val="24"/>
        </w:rPr>
        <w:tab/>
      </w:r>
      <w:r>
        <w:rPr>
          <w:rFonts w:hint="eastAsia"/>
          <w:sz w:val="24"/>
        </w:rPr>
        <w:t>50</w:t>
      </w:r>
    </w:p>
    <w:p>
      <w:pPr>
        <w:pStyle w:val="12"/>
        <w:adjustRightInd w:val="0"/>
        <w:snapToGrid w:val="0"/>
        <w:spacing w:line="440" w:lineRule="exact"/>
        <w:jc w:val="left"/>
        <w:rPr>
          <w:rFonts w:eastAsia="仿宋"/>
          <w:sz w:val="24"/>
        </w:rPr>
      </w:pPr>
      <w:r>
        <w:rPr>
          <w:rFonts w:eastAsia="仿宋"/>
          <w:sz w:val="24"/>
        </w:rPr>
        <w:t>二、</w:t>
      </w:r>
      <w:r>
        <w:rPr>
          <w:sz w:val="24"/>
        </w:rPr>
        <w:t>收入</w:t>
      </w:r>
      <w:r>
        <w:rPr>
          <w:rFonts w:eastAsia="仿宋"/>
          <w:sz w:val="24"/>
        </w:rPr>
        <w:t>决算</w:t>
      </w:r>
      <w:r>
        <w:rPr>
          <w:sz w:val="24"/>
        </w:rPr>
        <w:t>表</w:t>
      </w:r>
      <w:r>
        <w:rPr>
          <w:rFonts w:hint="eastAsia"/>
          <w:sz w:val="24"/>
        </w:rPr>
        <w:tab/>
      </w:r>
      <w:r>
        <w:rPr>
          <w:rFonts w:hint="eastAsia"/>
          <w:sz w:val="24"/>
        </w:rPr>
        <w:t>50</w:t>
      </w:r>
    </w:p>
    <w:p>
      <w:pPr>
        <w:pStyle w:val="12"/>
        <w:adjustRightInd w:val="0"/>
        <w:snapToGrid w:val="0"/>
        <w:spacing w:line="440" w:lineRule="exact"/>
        <w:jc w:val="left"/>
        <w:rPr>
          <w:rFonts w:eastAsia="仿宋"/>
          <w:sz w:val="24"/>
        </w:rPr>
      </w:pPr>
      <w:r>
        <w:rPr>
          <w:rFonts w:eastAsia="仿宋"/>
          <w:sz w:val="24"/>
        </w:rPr>
        <w:t>三、</w:t>
      </w:r>
      <w:r>
        <w:rPr>
          <w:sz w:val="24"/>
        </w:rPr>
        <w:t>支出</w:t>
      </w:r>
      <w:r>
        <w:rPr>
          <w:rFonts w:eastAsia="仿宋"/>
          <w:sz w:val="24"/>
        </w:rPr>
        <w:t>决算</w:t>
      </w:r>
      <w:r>
        <w:rPr>
          <w:sz w:val="24"/>
        </w:rPr>
        <w:t>表</w:t>
      </w:r>
      <w:r>
        <w:rPr>
          <w:rFonts w:hint="eastAsia"/>
          <w:sz w:val="24"/>
        </w:rPr>
        <w:tab/>
      </w:r>
      <w:r>
        <w:rPr>
          <w:rFonts w:hint="eastAsia"/>
          <w:sz w:val="24"/>
        </w:rPr>
        <w:t>50</w:t>
      </w:r>
    </w:p>
    <w:p>
      <w:pPr>
        <w:pStyle w:val="12"/>
        <w:adjustRightInd w:val="0"/>
        <w:snapToGrid w:val="0"/>
        <w:spacing w:line="440" w:lineRule="exact"/>
        <w:jc w:val="left"/>
        <w:rPr>
          <w:rFonts w:eastAsia="仿宋"/>
          <w:sz w:val="24"/>
        </w:rPr>
      </w:pPr>
      <w:r>
        <w:rPr>
          <w:rFonts w:eastAsia="仿宋"/>
          <w:sz w:val="24"/>
        </w:rPr>
        <w:t>四、</w:t>
      </w:r>
      <w:r>
        <w:rPr>
          <w:sz w:val="24"/>
        </w:rPr>
        <w:t>财政拨款收入支出决算总表</w:t>
      </w:r>
      <w:r>
        <w:rPr>
          <w:rFonts w:hint="eastAsia"/>
          <w:sz w:val="24"/>
        </w:rPr>
        <w:tab/>
      </w:r>
      <w:r>
        <w:rPr>
          <w:rFonts w:hint="eastAsia"/>
          <w:sz w:val="24"/>
        </w:rPr>
        <w:t>50</w:t>
      </w:r>
    </w:p>
    <w:p>
      <w:pPr>
        <w:pStyle w:val="12"/>
        <w:adjustRightInd w:val="0"/>
        <w:snapToGrid w:val="0"/>
        <w:spacing w:line="440" w:lineRule="exact"/>
        <w:jc w:val="left"/>
        <w:rPr>
          <w:rFonts w:eastAsia="仿宋"/>
          <w:sz w:val="24"/>
        </w:rPr>
      </w:pPr>
      <w:r>
        <w:rPr>
          <w:rFonts w:eastAsia="仿宋"/>
          <w:sz w:val="24"/>
        </w:rPr>
        <w:t>五、</w:t>
      </w:r>
      <w:r>
        <w:rPr>
          <w:sz w:val="24"/>
        </w:rPr>
        <w:t>财政拨款支出决算明细表</w:t>
      </w:r>
      <w:r>
        <w:rPr>
          <w:rFonts w:hint="eastAsia"/>
          <w:sz w:val="24"/>
        </w:rPr>
        <w:tab/>
      </w:r>
      <w:r>
        <w:rPr>
          <w:rFonts w:hint="eastAsia"/>
          <w:sz w:val="24"/>
        </w:rPr>
        <w:t>50</w:t>
      </w:r>
    </w:p>
    <w:p>
      <w:pPr>
        <w:pStyle w:val="12"/>
        <w:adjustRightInd w:val="0"/>
        <w:snapToGrid w:val="0"/>
        <w:spacing w:line="440" w:lineRule="exact"/>
        <w:jc w:val="left"/>
        <w:rPr>
          <w:rFonts w:eastAsia="仿宋"/>
          <w:sz w:val="24"/>
        </w:rPr>
      </w:pPr>
      <w:r>
        <w:rPr>
          <w:rFonts w:eastAsia="仿宋"/>
          <w:sz w:val="24"/>
        </w:rPr>
        <w:t>六、</w:t>
      </w:r>
      <w:r>
        <w:rPr>
          <w:sz w:val="24"/>
        </w:rPr>
        <w:t>一般公共预算财政拨款支出决算表</w:t>
      </w:r>
      <w:r>
        <w:rPr>
          <w:rFonts w:hint="eastAsia"/>
          <w:sz w:val="24"/>
        </w:rPr>
        <w:tab/>
      </w:r>
      <w:r>
        <w:rPr>
          <w:rFonts w:hint="eastAsia"/>
          <w:sz w:val="24"/>
        </w:rPr>
        <w:t>50</w:t>
      </w:r>
    </w:p>
    <w:p>
      <w:pPr>
        <w:pStyle w:val="12"/>
        <w:adjustRightInd w:val="0"/>
        <w:snapToGrid w:val="0"/>
        <w:spacing w:line="440" w:lineRule="exact"/>
        <w:jc w:val="left"/>
        <w:rPr>
          <w:rFonts w:eastAsia="仿宋"/>
          <w:sz w:val="24"/>
        </w:rPr>
      </w:pPr>
      <w:r>
        <w:rPr>
          <w:rFonts w:eastAsia="仿宋"/>
          <w:sz w:val="24"/>
        </w:rPr>
        <w:t>七、</w:t>
      </w:r>
      <w:r>
        <w:rPr>
          <w:sz w:val="24"/>
        </w:rPr>
        <w:t>一般公共预算财政拨款支出决算明细表</w:t>
      </w:r>
      <w:r>
        <w:rPr>
          <w:rFonts w:hint="eastAsia"/>
          <w:sz w:val="24"/>
        </w:rPr>
        <w:tab/>
      </w:r>
      <w:r>
        <w:rPr>
          <w:rFonts w:hint="eastAsia"/>
          <w:sz w:val="24"/>
        </w:rPr>
        <w:t>50</w:t>
      </w:r>
    </w:p>
    <w:p>
      <w:pPr>
        <w:pStyle w:val="12"/>
        <w:adjustRightInd w:val="0"/>
        <w:snapToGrid w:val="0"/>
        <w:spacing w:line="440" w:lineRule="exact"/>
        <w:jc w:val="left"/>
        <w:rPr>
          <w:rFonts w:eastAsia="仿宋"/>
          <w:sz w:val="24"/>
        </w:rPr>
      </w:pPr>
      <w:r>
        <w:rPr>
          <w:rFonts w:eastAsia="仿宋"/>
          <w:sz w:val="24"/>
        </w:rPr>
        <w:t>八、</w:t>
      </w:r>
      <w:r>
        <w:rPr>
          <w:sz w:val="24"/>
        </w:rPr>
        <w:t>一般公共预算财政拨款基本支出决算</w:t>
      </w:r>
      <w:r>
        <w:rPr>
          <w:rFonts w:hint="eastAsia"/>
          <w:sz w:val="24"/>
        </w:rPr>
        <w:t>明细</w:t>
      </w:r>
      <w:r>
        <w:rPr>
          <w:sz w:val="24"/>
        </w:rPr>
        <w:t>表</w:t>
      </w:r>
      <w:r>
        <w:rPr>
          <w:rFonts w:hint="eastAsia"/>
          <w:sz w:val="24"/>
        </w:rPr>
        <w:tab/>
      </w:r>
      <w:r>
        <w:rPr>
          <w:rFonts w:hint="eastAsia"/>
          <w:sz w:val="24"/>
        </w:rPr>
        <w:t>50</w:t>
      </w:r>
    </w:p>
    <w:p>
      <w:pPr>
        <w:pStyle w:val="12"/>
        <w:adjustRightInd w:val="0"/>
        <w:snapToGrid w:val="0"/>
        <w:spacing w:line="440" w:lineRule="exact"/>
        <w:jc w:val="left"/>
        <w:rPr>
          <w:rFonts w:eastAsia="仿宋"/>
          <w:sz w:val="24"/>
        </w:rPr>
      </w:pPr>
      <w:r>
        <w:rPr>
          <w:rFonts w:eastAsia="仿宋"/>
          <w:sz w:val="24"/>
        </w:rPr>
        <w:t>九、</w:t>
      </w:r>
      <w:r>
        <w:rPr>
          <w:sz w:val="24"/>
        </w:rPr>
        <w:t>一般公共预算财政拨款项目支出决算表</w:t>
      </w:r>
      <w:r>
        <w:rPr>
          <w:rFonts w:hint="eastAsia"/>
          <w:sz w:val="24"/>
        </w:rPr>
        <w:tab/>
      </w:r>
      <w:r>
        <w:rPr>
          <w:rFonts w:hint="eastAsia"/>
          <w:sz w:val="24"/>
        </w:rPr>
        <w:t>50</w:t>
      </w:r>
    </w:p>
    <w:p>
      <w:pPr>
        <w:pStyle w:val="12"/>
        <w:adjustRightInd w:val="0"/>
        <w:snapToGrid w:val="0"/>
        <w:spacing w:line="440" w:lineRule="exact"/>
        <w:jc w:val="left"/>
        <w:rPr>
          <w:rFonts w:eastAsia="仿宋"/>
          <w:sz w:val="24"/>
        </w:rPr>
      </w:pPr>
      <w:r>
        <w:rPr>
          <w:rFonts w:eastAsia="仿宋"/>
          <w:sz w:val="24"/>
        </w:rPr>
        <w:t>十、</w:t>
      </w:r>
      <w:r>
        <w:rPr>
          <w:sz w:val="24"/>
        </w:rPr>
        <w:t>政府性基金预算财政拨款收入支出决算表</w:t>
      </w:r>
      <w:r>
        <w:rPr>
          <w:rFonts w:hint="eastAsia"/>
          <w:sz w:val="24"/>
        </w:rPr>
        <w:tab/>
      </w:r>
      <w:r>
        <w:rPr>
          <w:rFonts w:hint="eastAsia"/>
          <w:sz w:val="24"/>
        </w:rPr>
        <w:t>50</w:t>
      </w:r>
    </w:p>
    <w:p>
      <w:pPr>
        <w:pStyle w:val="12"/>
        <w:adjustRightInd w:val="0"/>
        <w:snapToGrid w:val="0"/>
        <w:spacing w:line="440" w:lineRule="exact"/>
        <w:jc w:val="left"/>
        <w:rPr>
          <w:rFonts w:eastAsia="仿宋"/>
          <w:sz w:val="24"/>
        </w:rPr>
      </w:pPr>
      <w:r>
        <w:rPr>
          <w:rFonts w:eastAsia="仿宋"/>
          <w:sz w:val="24"/>
        </w:rPr>
        <w:t>十一、</w:t>
      </w:r>
      <w:r>
        <w:rPr>
          <w:sz w:val="24"/>
        </w:rPr>
        <w:t>国有资本经营预算财政拨款收入支出决算表</w:t>
      </w:r>
      <w:r>
        <w:rPr>
          <w:rFonts w:hint="eastAsia"/>
          <w:sz w:val="24"/>
        </w:rPr>
        <w:tab/>
      </w:r>
      <w:r>
        <w:rPr>
          <w:rFonts w:hint="eastAsia"/>
          <w:sz w:val="24"/>
        </w:rPr>
        <w:t>50</w:t>
      </w:r>
    </w:p>
    <w:p>
      <w:pPr>
        <w:pStyle w:val="12"/>
        <w:adjustRightInd w:val="0"/>
        <w:snapToGrid w:val="0"/>
        <w:spacing w:line="440" w:lineRule="exact"/>
        <w:jc w:val="left"/>
        <w:rPr>
          <w:sz w:val="24"/>
        </w:rPr>
      </w:pPr>
      <w:r>
        <w:rPr>
          <w:rFonts w:eastAsia="仿宋"/>
          <w:sz w:val="24"/>
        </w:rPr>
        <w:t>十二、</w:t>
      </w:r>
      <w:r>
        <w:rPr>
          <w:sz w:val="24"/>
        </w:rPr>
        <w:t>国有资本经营预算财政拨款支出决算表</w:t>
      </w:r>
      <w:r>
        <w:rPr>
          <w:rFonts w:hint="eastAsia"/>
          <w:sz w:val="24"/>
        </w:rPr>
        <w:tab/>
      </w:r>
      <w:r>
        <w:rPr>
          <w:rFonts w:hint="eastAsia"/>
          <w:sz w:val="24"/>
        </w:rPr>
        <w:t>50</w:t>
      </w:r>
    </w:p>
    <w:p>
      <w:pPr>
        <w:pStyle w:val="12"/>
        <w:adjustRightInd w:val="0"/>
        <w:snapToGrid w:val="0"/>
        <w:spacing w:line="440" w:lineRule="exact"/>
        <w:jc w:val="left"/>
        <w:rPr>
          <w:rFonts w:eastAsia="仿宋"/>
          <w:sz w:val="24"/>
        </w:rPr>
      </w:pPr>
      <w:r>
        <w:rPr>
          <w:rFonts w:eastAsia="仿宋"/>
          <w:sz w:val="24"/>
        </w:rPr>
        <w:t>十三、</w:t>
      </w:r>
      <w:r>
        <w:rPr>
          <w:sz w:val="24"/>
        </w:rPr>
        <w:t>财政拨款“三公”经费支出决算表</w:t>
      </w:r>
      <w:r>
        <w:rPr>
          <w:rFonts w:hint="eastAsia"/>
          <w:sz w:val="24"/>
        </w:rPr>
        <w:tab/>
      </w:r>
      <w:r>
        <w:rPr>
          <w:rFonts w:hint="eastAsia"/>
          <w:sz w:val="24"/>
        </w:rPr>
        <w:t>50</w:t>
      </w:r>
    </w:p>
    <w:p>
      <w:pPr>
        <w:widowControl/>
        <w:jc w:val="left"/>
        <w:rPr>
          <w:rStyle w:val="26"/>
          <w:rFonts w:ascii="黑体" w:hAnsi="黑体" w:cs="黑体"/>
          <w:b w:val="0"/>
          <w:bCs w:val="0"/>
        </w:rPr>
      </w:pPr>
      <w:bookmarkStart w:id="17" w:name="_Toc11160"/>
      <w:bookmarkStart w:id="18" w:name="_Toc15396618"/>
      <w:bookmarkStart w:id="19" w:name="_Toc15377226"/>
      <w:r>
        <w:rPr>
          <w:rStyle w:val="26"/>
          <w:rFonts w:ascii="黑体" w:hAnsi="黑体" w:cs="黑体"/>
          <w:b w:val="0"/>
          <w:bCs w:val="0"/>
        </w:rPr>
        <w:br w:type="page"/>
      </w:r>
    </w:p>
    <w:p>
      <w:pPr>
        <w:jc w:val="center"/>
        <w:outlineLvl w:val="0"/>
        <w:rPr>
          <w:rStyle w:val="26"/>
          <w:rFonts w:ascii="黑体" w:hAnsi="黑体" w:cs="黑体"/>
          <w:b w:val="0"/>
          <w:bCs w:val="0"/>
          <w:kern w:val="2"/>
        </w:rPr>
      </w:pPr>
      <w:r>
        <w:rPr>
          <w:rStyle w:val="26"/>
          <w:rFonts w:hint="eastAsia" w:ascii="黑体" w:hAnsi="黑体" w:cs="黑体"/>
          <w:b w:val="0"/>
          <w:bCs w:val="0"/>
        </w:rPr>
        <w:t>第一部分部门概况</w:t>
      </w:r>
      <w:bookmarkEnd w:id="17"/>
    </w:p>
    <w:p>
      <w:pPr>
        <w:spacing w:line="600" w:lineRule="exact"/>
        <w:jc w:val="center"/>
        <w:rPr>
          <w:rFonts w:ascii="宋体" w:hAnsi="宋体"/>
          <w:b/>
          <w:color w:val="000000"/>
          <w:sz w:val="44"/>
          <w:szCs w:val="44"/>
        </w:rPr>
      </w:pPr>
    </w:p>
    <w:p>
      <w:pPr>
        <w:pStyle w:val="4"/>
        <w:spacing w:before="0" w:after="0" w:line="590" w:lineRule="exact"/>
        <w:ind w:firstLine="642" w:firstLineChars="200"/>
        <w:jc w:val="left"/>
      </w:pPr>
      <w:bookmarkStart w:id="20" w:name="_Toc48743079"/>
      <w:bookmarkStart w:id="21" w:name="_Toc48743189"/>
      <w:bookmarkStart w:id="22" w:name="_Toc48743008"/>
      <w:bookmarkStart w:id="23" w:name="_Toc20213_WPSOffice_Level2"/>
      <w:bookmarkStart w:id="24" w:name="_Toc9858"/>
      <w:r>
        <w:rPr>
          <w:rFonts w:hint="eastAsia"/>
        </w:rPr>
        <w:t>一、基本职能及主要工作</w:t>
      </w:r>
      <w:bookmarkEnd w:id="20"/>
      <w:bookmarkEnd w:id="21"/>
      <w:bookmarkEnd w:id="22"/>
      <w:bookmarkEnd w:id="23"/>
      <w:bookmarkEnd w:id="24"/>
    </w:p>
    <w:p>
      <w:pPr>
        <w:pStyle w:val="2"/>
        <w:adjustRightInd w:val="0"/>
        <w:snapToGrid w:val="0"/>
        <w:spacing w:beforeLines="0" w:line="590" w:lineRule="exact"/>
        <w:ind w:firstLine="640" w:firstLineChars="200"/>
        <w:jc w:val="left"/>
        <w:outlineLvl w:val="2"/>
        <w:rPr>
          <w:rFonts w:ascii="仿宋" w:hAnsi="仿宋" w:eastAsia="仿宋" w:cs="仿宋"/>
          <w:bCs/>
          <w:color w:val="000000"/>
          <w:sz w:val="32"/>
          <w:szCs w:val="32"/>
        </w:rPr>
      </w:pPr>
      <w:r>
        <w:rPr>
          <w:rFonts w:hint="eastAsia" w:ascii="仿宋" w:hAnsi="仿宋" w:eastAsia="仿宋" w:cs="仿宋"/>
          <w:bCs/>
          <w:color w:val="000000"/>
          <w:sz w:val="32"/>
          <w:szCs w:val="32"/>
        </w:rPr>
        <w:t>（一）主要职责</w:t>
      </w:r>
    </w:p>
    <w:p>
      <w:pPr>
        <w:pStyle w:val="2"/>
        <w:adjustRightInd w:val="0"/>
        <w:snapToGrid w:val="0"/>
        <w:spacing w:beforeLines="0" w:line="590" w:lineRule="exact"/>
        <w:ind w:firstLine="640" w:firstLineChars="200"/>
        <w:jc w:val="left"/>
        <w:rPr>
          <w:rFonts w:ascii="仿宋" w:hAnsi="仿宋" w:eastAsia="仿宋" w:cs="仿宋"/>
          <w:bCs/>
          <w:color w:val="000000"/>
          <w:sz w:val="32"/>
          <w:szCs w:val="32"/>
        </w:rPr>
      </w:pPr>
      <w:r>
        <w:rPr>
          <w:rFonts w:hint="eastAsia" w:ascii="仿宋" w:hAnsi="仿宋" w:eastAsia="仿宋" w:cs="仿宋"/>
          <w:bCs/>
          <w:color w:val="000000"/>
          <w:sz w:val="32"/>
          <w:szCs w:val="32"/>
        </w:rPr>
        <w:t>残联是将残疾人自身代表组织、社会福利团体和事业管理机构融为一体的残疾人事业团体，履行“代表、服务、管理”职能，由县政府领导同志联系。其主要职责是：</w:t>
      </w:r>
    </w:p>
    <w:p>
      <w:pPr>
        <w:pStyle w:val="2"/>
        <w:adjustRightInd w:val="0"/>
        <w:snapToGrid w:val="0"/>
        <w:spacing w:beforeLines="0" w:line="590" w:lineRule="exact"/>
        <w:ind w:firstLine="640" w:firstLineChars="200"/>
        <w:jc w:val="left"/>
        <w:rPr>
          <w:rFonts w:ascii="仿宋" w:hAnsi="仿宋" w:eastAsia="仿宋" w:cs="仿宋"/>
          <w:bCs/>
          <w:color w:val="000000"/>
          <w:sz w:val="32"/>
          <w:szCs w:val="32"/>
        </w:rPr>
      </w:pPr>
      <w:r>
        <w:rPr>
          <w:rFonts w:hint="eastAsia" w:ascii="仿宋" w:hAnsi="仿宋" w:eastAsia="仿宋" w:cs="仿宋"/>
          <w:bCs/>
          <w:color w:val="000000"/>
          <w:sz w:val="32"/>
          <w:szCs w:val="32"/>
        </w:rPr>
        <w:t>1、听取残疾人意见，反映残疾人需求，维护残疾人的合法权益，为残疾人服务。</w:t>
      </w:r>
    </w:p>
    <w:p>
      <w:pPr>
        <w:pStyle w:val="2"/>
        <w:adjustRightInd w:val="0"/>
        <w:snapToGrid w:val="0"/>
        <w:spacing w:beforeLines="0" w:line="590" w:lineRule="exact"/>
        <w:ind w:firstLine="640" w:firstLineChars="200"/>
        <w:jc w:val="left"/>
        <w:rPr>
          <w:rFonts w:ascii="仿宋" w:hAnsi="仿宋" w:eastAsia="仿宋" w:cs="仿宋"/>
          <w:bCs/>
          <w:color w:val="000000"/>
          <w:sz w:val="32"/>
          <w:szCs w:val="32"/>
        </w:rPr>
      </w:pPr>
      <w:r>
        <w:rPr>
          <w:rFonts w:hint="eastAsia" w:ascii="仿宋" w:hAnsi="仿宋" w:eastAsia="仿宋" w:cs="仿宋"/>
          <w:bCs/>
          <w:color w:val="000000"/>
          <w:sz w:val="32"/>
          <w:szCs w:val="32"/>
        </w:rPr>
        <w:t>2、团结、教育残疾人遵纪守法，履行应尽的义务，发扬乐观进取精神，为社会主义建设贡献力量。</w:t>
      </w:r>
    </w:p>
    <w:p>
      <w:pPr>
        <w:pStyle w:val="2"/>
        <w:adjustRightInd w:val="0"/>
        <w:snapToGrid w:val="0"/>
        <w:spacing w:beforeLines="0" w:line="590" w:lineRule="exact"/>
        <w:ind w:firstLine="640" w:firstLineChars="200"/>
        <w:jc w:val="left"/>
        <w:rPr>
          <w:rFonts w:ascii="仿宋" w:hAnsi="仿宋" w:eastAsia="仿宋" w:cs="仿宋"/>
          <w:bCs/>
          <w:color w:val="000000"/>
          <w:sz w:val="32"/>
          <w:szCs w:val="32"/>
        </w:rPr>
      </w:pPr>
      <w:r>
        <w:rPr>
          <w:rFonts w:hint="eastAsia" w:ascii="仿宋" w:hAnsi="仿宋" w:eastAsia="仿宋" w:cs="仿宋"/>
          <w:bCs/>
          <w:color w:val="000000"/>
          <w:sz w:val="32"/>
          <w:szCs w:val="32"/>
        </w:rPr>
        <w:t xml:space="preserve"> 3、弘扬人道主义，宣传残疾人事业，沟通政府、社会与残疾人之间的联系，推动社会理解、尊重、关心、帮助残疾人。</w:t>
      </w:r>
    </w:p>
    <w:p>
      <w:pPr>
        <w:pStyle w:val="2"/>
        <w:adjustRightInd w:val="0"/>
        <w:snapToGrid w:val="0"/>
        <w:spacing w:beforeLines="0" w:line="590" w:lineRule="exact"/>
        <w:ind w:firstLine="640" w:firstLineChars="200"/>
        <w:jc w:val="left"/>
        <w:rPr>
          <w:rFonts w:ascii="仿宋" w:hAnsi="仿宋" w:eastAsia="仿宋" w:cs="仿宋"/>
          <w:bCs/>
          <w:color w:val="000000"/>
          <w:sz w:val="32"/>
          <w:szCs w:val="32"/>
        </w:rPr>
      </w:pPr>
      <w:r>
        <w:rPr>
          <w:rFonts w:hint="eastAsia" w:ascii="仿宋" w:hAnsi="仿宋" w:eastAsia="仿宋" w:cs="仿宋"/>
          <w:bCs/>
          <w:color w:val="000000"/>
          <w:sz w:val="32"/>
          <w:szCs w:val="32"/>
        </w:rPr>
        <w:t>4、开展残疾人康复、教育、劳动就业、扶贫解困、文化、体育、科研、用品用具供应、福利、社会服务、无障碍设施和残疾预防等工作，创造良好的环境和条件，扶助残疾人平等参与社会生活。</w:t>
      </w:r>
    </w:p>
    <w:p>
      <w:pPr>
        <w:pStyle w:val="2"/>
        <w:adjustRightInd w:val="0"/>
        <w:snapToGrid w:val="0"/>
        <w:spacing w:beforeLines="0" w:line="590" w:lineRule="exact"/>
        <w:ind w:firstLine="640" w:firstLineChars="200"/>
        <w:jc w:val="left"/>
        <w:rPr>
          <w:rFonts w:ascii="仿宋" w:hAnsi="仿宋" w:eastAsia="仿宋" w:cs="仿宋"/>
          <w:bCs/>
          <w:color w:val="000000"/>
          <w:sz w:val="32"/>
          <w:szCs w:val="32"/>
        </w:rPr>
      </w:pPr>
      <w:r>
        <w:rPr>
          <w:rFonts w:hint="eastAsia" w:ascii="仿宋" w:hAnsi="仿宋" w:eastAsia="仿宋" w:cs="仿宋"/>
          <w:bCs/>
          <w:color w:val="000000"/>
          <w:sz w:val="32"/>
          <w:szCs w:val="32"/>
        </w:rPr>
        <w:t>5、研究、拟定和实施残疾人事业的法规、政策、规划和计划，对相关业务进行指导与管理。</w:t>
      </w:r>
    </w:p>
    <w:p>
      <w:pPr>
        <w:pStyle w:val="2"/>
        <w:adjustRightInd w:val="0"/>
        <w:snapToGrid w:val="0"/>
        <w:spacing w:beforeLines="0" w:line="590" w:lineRule="exact"/>
        <w:ind w:firstLine="640" w:firstLineChars="200"/>
        <w:jc w:val="left"/>
        <w:rPr>
          <w:rFonts w:ascii="仿宋" w:hAnsi="仿宋" w:eastAsia="仿宋" w:cs="仿宋"/>
          <w:bCs/>
          <w:color w:val="000000"/>
          <w:sz w:val="32"/>
          <w:szCs w:val="32"/>
        </w:rPr>
      </w:pPr>
      <w:r>
        <w:rPr>
          <w:rFonts w:hint="eastAsia" w:ascii="仿宋" w:hAnsi="仿宋" w:eastAsia="仿宋" w:cs="仿宋"/>
          <w:bCs/>
          <w:color w:val="000000"/>
          <w:sz w:val="32"/>
          <w:szCs w:val="32"/>
        </w:rPr>
        <w:t>6、对乡镇（街道）残疾人联合会领导班子的调整配备提出建议或意见，做好残联干部的业务培训工作。</w:t>
      </w:r>
    </w:p>
    <w:p>
      <w:pPr>
        <w:pStyle w:val="2"/>
        <w:adjustRightInd w:val="0"/>
        <w:snapToGrid w:val="0"/>
        <w:spacing w:beforeLines="0" w:line="590" w:lineRule="exact"/>
        <w:ind w:firstLine="640" w:firstLineChars="200"/>
        <w:jc w:val="left"/>
        <w:outlineLvl w:val="3"/>
        <w:rPr>
          <w:rFonts w:ascii="仿宋" w:hAnsi="仿宋" w:eastAsia="仿宋" w:cs="仿宋"/>
          <w:bCs/>
          <w:color w:val="000000"/>
          <w:sz w:val="32"/>
          <w:szCs w:val="32"/>
        </w:rPr>
      </w:pPr>
      <w:r>
        <w:rPr>
          <w:rFonts w:hint="eastAsia" w:ascii="仿宋" w:hAnsi="仿宋" w:eastAsia="仿宋" w:cs="仿宋"/>
          <w:bCs/>
          <w:color w:val="000000"/>
          <w:sz w:val="32"/>
          <w:szCs w:val="32"/>
        </w:rPr>
        <w:t>7、承担县残疾人工作委员会的日常工作。</w:t>
      </w:r>
    </w:p>
    <w:p>
      <w:pPr>
        <w:pStyle w:val="2"/>
        <w:adjustRightInd w:val="0"/>
        <w:snapToGrid w:val="0"/>
        <w:spacing w:beforeLines="0" w:line="590" w:lineRule="exact"/>
        <w:ind w:firstLine="640" w:firstLineChars="200"/>
        <w:jc w:val="left"/>
        <w:rPr>
          <w:rFonts w:ascii="仿宋" w:hAnsi="仿宋" w:eastAsia="仿宋" w:cs="仿宋"/>
          <w:bCs/>
          <w:color w:val="000000"/>
          <w:sz w:val="32"/>
          <w:szCs w:val="32"/>
        </w:rPr>
      </w:pPr>
      <w:r>
        <w:rPr>
          <w:rFonts w:hint="eastAsia" w:ascii="仿宋" w:hAnsi="仿宋" w:eastAsia="仿宋" w:cs="仿宋"/>
          <w:bCs/>
          <w:color w:val="000000"/>
          <w:sz w:val="32"/>
          <w:szCs w:val="32"/>
        </w:rPr>
        <w:t>8、指导乡镇（街道）残疾人联合会的工作，管理各类残疾人社团组织。</w:t>
      </w:r>
    </w:p>
    <w:p>
      <w:pPr>
        <w:pStyle w:val="2"/>
        <w:adjustRightInd w:val="0"/>
        <w:snapToGrid w:val="0"/>
        <w:spacing w:beforeLines="0" w:line="590" w:lineRule="exact"/>
        <w:ind w:firstLine="640" w:firstLineChars="200"/>
        <w:jc w:val="left"/>
        <w:rPr>
          <w:rFonts w:ascii="仿宋" w:hAnsi="仿宋" w:eastAsia="仿宋" w:cs="仿宋"/>
          <w:bCs/>
          <w:color w:val="000000"/>
          <w:sz w:val="32"/>
          <w:szCs w:val="32"/>
        </w:rPr>
      </w:pPr>
      <w:r>
        <w:rPr>
          <w:rFonts w:hint="eastAsia" w:ascii="仿宋" w:hAnsi="仿宋" w:eastAsia="仿宋" w:cs="仿宋"/>
          <w:bCs/>
          <w:color w:val="000000"/>
          <w:sz w:val="32"/>
          <w:szCs w:val="32"/>
        </w:rPr>
        <w:t>9、开展残疾人事业的对外交流与合作。</w:t>
      </w:r>
    </w:p>
    <w:p>
      <w:pPr>
        <w:pStyle w:val="2"/>
        <w:adjustRightInd w:val="0"/>
        <w:snapToGrid w:val="0"/>
        <w:spacing w:beforeLines="0" w:line="590" w:lineRule="exact"/>
        <w:ind w:firstLine="640" w:firstLineChars="200"/>
        <w:jc w:val="left"/>
        <w:rPr>
          <w:rFonts w:ascii="仿宋" w:hAnsi="仿宋" w:eastAsia="仿宋" w:cs="仿宋"/>
          <w:bCs/>
          <w:color w:val="000000"/>
          <w:sz w:val="32"/>
          <w:szCs w:val="32"/>
        </w:rPr>
      </w:pPr>
      <w:r>
        <w:rPr>
          <w:rFonts w:hint="eastAsia" w:ascii="仿宋" w:hAnsi="仿宋" w:eastAsia="仿宋" w:cs="仿宋"/>
          <w:sz w:val="32"/>
          <w:szCs w:val="32"/>
        </w:rPr>
        <w:t>10、承办县委、县政府和上级残联交办的其他工作。</w:t>
      </w:r>
    </w:p>
    <w:p>
      <w:pPr>
        <w:pStyle w:val="2"/>
        <w:adjustRightInd w:val="0"/>
        <w:snapToGrid w:val="0"/>
        <w:spacing w:beforeLines="0" w:line="590" w:lineRule="exact"/>
        <w:ind w:firstLine="640" w:firstLineChars="200"/>
        <w:jc w:val="left"/>
        <w:outlineLvl w:val="2"/>
        <w:rPr>
          <w:rFonts w:ascii="仿宋" w:hAnsi="仿宋" w:eastAsia="仿宋" w:cs="仿宋"/>
          <w:bCs/>
          <w:color w:val="000000"/>
          <w:sz w:val="32"/>
          <w:szCs w:val="32"/>
        </w:rPr>
      </w:pPr>
      <w:r>
        <w:rPr>
          <w:rFonts w:hint="eastAsia" w:ascii="仿宋" w:hAnsi="仿宋" w:eastAsia="仿宋" w:cs="仿宋"/>
          <w:bCs/>
          <w:color w:val="000000"/>
          <w:sz w:val="32"/>
          <w:szCs w:val="32"/>
        </w:rPr>
        <w:t>（二）2022年重点工作完成情况</w:t>
      </w:r>
    </w:p>
    <w:p>
      <w:pPr>
        <w:pStyle w:val="2"/>
        <w:adjustRightInd w:val="0"/>
        <w:snapToGrid w:val="0"/>
        <w:spacing w:beforeLines="0" w:line="590" w:lineRule="exact"/>
        <w:ind w:firstLine="640" w:firstLineChars="200"/>
        <w:jc w:val="left"/>
        <w:rPr>
          <w:rFonts w:ascii="仿宋" w:hAnsi="仿宋" w:eastAsia="仿宋" w:cs="仿宋"/>
          <w:bCs/>
          <w:color w:val="000000"/>
          <w:sz w:val="32"/>
          <w:szCs w:val="32"/>
        </w:rPr>
      </w:pPr>
      <w:r>
        <w:rPr>
          <w:rFonts w:hint="eastAsia" w:ascii="仿宋" w:hAnsi="仿宋" w:eastAsia="仿宋" w:cs="仿宋"/>
          <w:sz w:val="32"/>
          <w:szCs w:val="32"/>
        </w:rPr>
        <w:t>为170名0-14岁残疾儿童提供康复，为420名残疾人提供就业补贴，为300名残疾人提供实用技术培训，为144名残疾人提供无障碍改造，为5名残疾人安装假肢，为500名精神残疾人提供免费服药，为306名精神、智力残疾人提供集中托养；为520名残疾人免费提供辅具，</w:t>
      </w:r>
      <w:r>
        <w:rPr>
          <w:rFonts w:hint="eastAsia" w:ascii="仿宋" w:hAnsi="仿宋" w:eastAsia="仿宋"/>
          <w:color w:val="000000"/>
          <w:sz w:val="32"/>
          <w:szCs w:val="32"/>
        </w:rPr>
        <w:t>为111名精神智力残疾人发放办证补贴，</w:t>
      </w:r>
      <w:r>
        <w:rPr>
          <w:rFonts w:hint="eastAsia" w:ascii="仿宋" w:hAnsi="仿宋" w:eastAsia="仿宋" w:cs="仿宋"/>
          <w:sz w:val="32"/>
          <w:szCs w:val="32"/>
        </w:rPr>
        <w:t>这一系列的惠民工程实施，</w:t>
      </w:r>
      <w:r>
        <w:rPr>
          <w:rFonts w:hint="eastAsia" w:ascii="仿宋" w:hAnsi="仿宋" w:eastAsia="仿宋" w:cs="仿宋"/>
          <w:bCs/>
          <w:color w:val="000000"/>
          <w:sz w:val="32"/>
          <w:szCs w:val="32"/>
        </w:rPr>
        <w:t>得到了残疾人的肯定，取得了良好的社会反映。</w:t>
      </w:r>
    </w:p>
    <w:p>
      <w:pPr>
        <w:pStyle w:val="4"/>
        <w:spacing w:before="0" w:after="0" w:line="590" w:lineRule="exact"/>
        <w:ind w:firstLine="642" w:firstLineChars="200"/>
        <w:jc w:val="left"/>
      </w:pPr>
      <w:bookmarkStart w:id="25" w:name="_Toc48743009"/>
      <w:bookmarkStart w:id="26" w:name="_Toc31015"/>
      <w:bookmarkStart w:id="27" w:name="_Toc20806"/>
      <w:bookmarkStart w:id="28" w:name="_Toc22291_WPSOffice_Level2"/>
      <w:bookmarkStart w:id="29" w:name="_Toc48743190"/>
      <w:bookmarkStart w:id="30" w:name="_Toc7710"/>
      <w:bookmarkStart w:id="31" w:name="_Toc48743080"/>
      <w:r>
        <w:rPr>
          <w:rFonts w:hint="eastAsia"/>
        </w:rPr>
        <w:t>二、机构设置</w:t>
      </w:r>
      <w:bookmarkEnd w:id="25"/>
      <w:bookmarkEnd w:id="26"/>
      <w:bookmarkEnd w:id="27"/>
      <w:bookmarkEnd w:id="28"/>
      <w:bookmarkEnd w:id="29"/>
      <w:bookmarkEnd w:id="30"/>
      <w:bookmarkEnd w:id="31"/>
    </w:p>
    <w:p>
      <w:pPr>
        <w:pStyle w:val="2"/>
        <w:adjustRightInd w:val="0"/>
        <w:snapToGrid w:val="0"/>
        <w:spacing w:beforeLines="0" w:line="590" w:lineRule="exact"/>
        <w:ind w:firstLine="640" w:firstLineChars="200"/>
        <w:jc w:val="left"/>
        <w:rPr>
          <w:rFonts w:ascii="仿宋" w:hAnsi="仿宋" w:eastAsia="仿宋" w:cs="仿宋"/>
          <w:bCs/>
          <w:color w:val="000000"/>
          <w:sz w:val="32"/>
          <w:szCs w:val="32"/>
        </w:rPr>
      </w:pPr>
      <w:r>
        <w:rPr>
          <w:rFonts w:hint="eastAsia" w:ascii="仿宋" w:hAnsi="仿宋" w:eastAsia="仿宋" w:cs="仿宋"/>
          <w:bCs/>
          <w:color w:val="000000"/>
          <w:sz w:val="32"/>
          <w:szCs w:val="32"/>
        </w:rPr>
        <w:t>残联下属事业单位1个残疾人服务中心。残疾人服务中心统一纳入残联决算编报范围进行预算管理，在残联统一作决算公开。残联机关内设三个职能股室。</w:t>
      </w:r>
    </w:p>
    <w:p>
      <w:pPr>
        <w:spacing w:line="590" w:lineRule="exact"/>
        <w:ind w:firstLine="640" w:firstLineChars="200"/>
        <w:jc w:val="left"/>
        <w:outlineLvl w:val="2"/>
        <w:rPr>
          <w:rFonts w:ascii="仿宋" w:hAnsi="仿宋" w:eastAsia="仿宋" w:cs="仿宋"/>
          <w:color w:val="000000"/>
          <w:sz w:val="32"/>
          <w:szCs w:val="32"/>
        </w:rPr>
      </w:pPr>
      <w:r>
        <w:rPr>
          <w:rFonts w:hint="eastAsia" w:ascii="仿宋" w:hAnsi="仿宋" w:eastAsia="仿宋" w:cs="仿宋"/>
          <w:color w:val="000000"/>
          <w:sz w:val="32"/>
          <w:szCs w:val="32"/>
        </w:rPr>
        <w:t>1、办公室（县残疾人工作委员会秘书处）</w:t>
      </w:r>
    </w:p>
    <w:p>
      <w:pPr>
        <w:spacing w:line="590" w:lineRule="exact"/>
        <w:ind w:firstLine="640" w:firstLineChars="200"/>
        <w:jc w:val="left"/>
        <w:outlineLvl w:val="2"/>
        <w:rPr>
          <w:rFonts w:hint="eastAsia" w:ascii="仿宋" w:hAnsi="仿宋" w:eastAsia="仿宋" w:cs="仿宋"/>
          <w:color w:val="000000"/>
          <w:sz w:val="32"/>
          <w:szCs w:val="32"/>
        </w:rPr>
      </w:pPr>
      <w:r>
        <w:rPr>
          <w:rFonts w:hint="eastAsia" w:ascii="仿宋" w:hAnsi="仿宋" w:eastAsia="仿宋" w:cs="仿宋"/>
          <w:color w:val="000000"/>
          <w:sz w:val="32"/>
          <w:szCs w:val="32"/>
        </w:rPr>
        <w:t>负责残疾人联合会内外联系及综合协调工作；负责机关文秘、机要、保密、档案、统计、会务、信息、督办、公产管理、社会治安综合治理、后勤管理服务等工作；承担县残疾人工作委员会的具体工作。</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2、综合股</w:t>
      </w:r>
    </w:p>
    <w:p>
      <w:pPr>
        <w:spacing w:line="59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参与制定和实施残疾人教育工作计划，促进和开展残疾人学前教育、义务教育、职业教育、高级中等以上教育和成人教育，推广盲文、手语；制定残疾人劳动就业工作计划；指导残疾人职业技能培训和盲人按摩与盲人辅导工作；组织实施残疾人分散按比例就业和残疾人组织兴办福利企业；负责残疾人劳动服务网络的建设与业务指导工作；组织实施残疾人扶贫解困工作；协助开展残疾人社会保障工作。</w:t>
      </w:r>
    </w:p>
    <w:p>
      <w:pPr>
        <w:spacing w:line="590" w:lineRule="exact"/>
        <w:ind w:firstLine="640" w:firstLineChars="200"/>
        <w:jc w:val="left"/>
        <w:outlineLvl w:val="2"/>
        <w:rPr>
          <w:rFonts w:ascii="仿宋" w:hAnsi="仿宋" w:eastAsia="仿宋" w:cs="仿宋"/>
          <w:color w:val="000000"/>
          <w:sz w:val="32"/>
          <w:szCs w:val="32"/>
        </w:rPr>
      </w:pPr>
      <w:r>
        <w:rPr>
          <w:rFonts w:hint="eastAsia" w:ascii="仿宋" w:hAnsi="仿宋" w:eastAsia="仿宋" w:cs="仿宋"/>
          <w:color w:val="000000"/>
          <w:sz w:val="32"/>
          <w:szCs w:val="32"/>
        </w:rPr>
        <w:t>3、服务中心</w:t>
      </w:r>
    </w:p>
    <w:p>
      <w:pPr>
        <w:spacing w:line="59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组织和指导开展残疾状况、致残原因和康复需求调查，掌握、协调残疾人康复技术资源；拟定和实施残疾人康复政策和工作规划、计划、指导和协调残疾人康复机构的业务；组织开展残疾人九项康复和各类残疾人用品用具的开发、供应、服务工作；指导残疾人康复行业协会的工作，开展学术交流，培训康复人才；开展残疾人专项统计，总结推广残疾人康复先进工作经验；承担县残疾人康复办公室的日常工作。</w:t>
      </w:r>
    </w:p>
    <w:p>
      <w:pPr>
        <w:pStyle w:val="3"/>
        <w:spacing w:before="0" w:after="0" w:line="590" w:lineRule="exact"/>
        <w:ind w:firstLine="883" w:firstLineChars="200"/>
        <w:jc w:val="left"/>
      </w:pPr>
      <w:bookmarkStart w:id="32" w:name="_Toc13127"/>
      <w:bookmarkStart w:id="33" w:name="_Toc15377204"/>
      <w:bookmarkStart w:id="34" w:name="_Toc31549"/>
      <w:bookmarkStart w:id="35" w:name="_Toc30251_WPSOffice_Level1"/>
      <w:bookmarkStart w:id="36" w:name="_Toc48743081"/>
      <w:bookmarkStart w:id="37" w:name="_Toc48743010"/>
      <w:bookmarkStart w:id="38" w:name="_Toc3199"/>
      <w:bookmarkStart w:id="39" w:name="_Toc48743191"/>
    </w:p>
    <w:p>
      <w:pPr>
        <w:pStyle w:val="3"/>
        <w:spacing w:before="0" w:after="0" w:line="590" w:lineRule="exact"/>
        <w:ind w:firstLine="883" w:firstLineChars="200"/>
        <w:jc w:val="left"/>
      </w:pPr>
      <w:r>
        <w:rPr>
          <w:rFonts w:hint="eastAsia"/>
        </w:rPr>
        <w:t>第二部分2022年度部门决算情况说明</w:t>
      </w:r>
      <w:bookmarkEnd w:id="32"/>
      <w:bookmarkEnd w:id="33"/>
      <w:bookmarkEnd w:id="34"/>
      <w:bookmarkEnd w:id="35"/>
      <w:bookmarkEnd w:id="36"/>
      <w:bookmarkEnd w:id="37"/>
      <w:bookmarkEnd w:id="38"/>
      <w:bookmarkEnd w:id="39"/>
    </w:p>
    <w:p>
      <w:pPr>
        <w:pStyle w:val="4"/>
        <w:spacing w:before="0" w:after="0" w:line="590" w:lineRule="exact"/>
        <w:ind w:firstLine="642" w:firstLineChars="200"/>
        <w:jc w:val="left"/>
      </w:pPr>
      <w:bookmarkStart w:id="40" w:name="_Toc48743192"/>
      <w:bookmarkStart w:id="41" w:name="_Toc48743011"/>
      <w:bookmarkStart w:id="42" w:name="_Toc31320"/>
      <w:bookmarkStart w:id="43" w:name="_Toc31737_WPSOffice_Level2"/>
      <w:bookmarkStart w:id="44" w:name="_Toc24580"/>
      <w:bookmarkStart w:id="45" w:name="_Toc14105"/>
      <w:bookmarkStart w:id="46" w:name="_Toc48743082"/>
    </w:p>
    <w:p>
      <w:pPr>
        <w:pStyle w:val="4"/>
        <w:spacing w:before="0" w:after="0" w:line="590" w:lineRule="exact"/>
        <w:ind w:firstLine="642" w:firstLineChars="200"/>
        <w:jc w:val="left"/>
      </w:pPr>
      <w:r>
        <w:rPr>
          <w:rFonts w:hint="eastAsia"/>
        </w:rPr>
        <w:t>一、</w:t>
      </w:r>
      <w:bookmarkStart w:id="47" w:name="_Toc15377205"/>
      <w:r>
        <w:rPr>
          <w:rFonts w:hint="eastAsia"/>
        </w:rPr>
        <w:t>收入支出决算总体情况说明</w:t>
      </w:r>
      <w:bookmarkEnd w:id="40"/>
      <w:bookmarkEnd w:id="41"/>
      <w:bookmarkEnd w:id="42"/>
      <w:bookmarkEnd w:id="43"/>
      <w:bookmarkEnd w:id="44"/>
      <w:bookmarkEnd w:id="45"/>
      <w:bookmarkEnd w:id="46"/>
      <w:bookmarkEnd w:id="47"/>
    </w:p>
    <w:p>
      <w:pPr>
        <w:spacing w:line="59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2022年度收入、支出总计均为1205.5万元。与2021年相比，收入、支出总计各增加287.44万元，增加23%。主要变动原因是民生任务增加。</w:t>
      </w:r>
    </w:p>
    <w:p>
      <w:pPr>
        <w:pStyle w:val="2"/>
        <w:spacing w:before="93"/>
      </w:pPr>
    </w:p>
    <w:p>
      <w:pPr>
        <w:spacing w:line="600" w:lineRule="exact"/>
        <w:ind w:firstLine="420" w:firstLineChars="200"/>
        <w:rPr>
          <w:rFonts w:ascii="仿宋_GB2312" w:eastAsia="仿宋_GB2312"/>
          <w:color w:val="000000"/>
          <w:sz w:val="32"/>
          <w:szCs w:val="32"/>
        </w:rPr>
      </w:pPr>
      <w:r>
        <w:drawing>
          <wp:anchor distT="0" distB="0" distL="114300" distR="114300" simplePos="0" relativeHeight="251660288" behindDoc="0" locked="0" layoutInCell="1" allowOverlap="1">
            <wp:simplePos x="0" y="0"/>
            <wp:positionH relativeFrom="column">
              <wp:posOffset>147320</wp:posOffset>
            </wp:positionH>
            <wp:positionV relativeFrom="paragraph">
              <wp:posOffset>4445</wp:posOffset>
            </wp:positionV>
            <wp:extent cx="4619625" cy="2562225"/>
            <wp:effectExtent l="4445" t="4445" r="5080" b="5080"/>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59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pStyle w:val="4"/>
        <w:spacing w:before="0" w:after="0" w:line="590" w:lineRule="exact"/>
        <w:ind w:firstLine="642" w:firstLineChars="200"/>
        <w:jc w:val="left"/>
      </w:pPr>
      <w:bookmarkStart w:id="48" w:name="_Toc2880"/>
      <w:bookmarkStart w:id="49" w:name="_Toc30662"/>
      <w:bookmarkStart w:id="50" w:name="_Toc21152"/>
      <w:bookmarkStart w:id="51" w:name="_Toc48743193"/>
      <w:bookmarkStart w:id="52" w:name="_Toc48743012"/>
      <w:bookmarkStart w:id="53" w:name="_Toc25854_WPSOffice_Level2"/>
      <w:bookmarkStart w:id="54" w:name="_Toc15377206"/>
      <w:bookmarkStart w:id="55" w:name="_Toc48743083"/>
      <w:r>
        <w:rPr>
          <w:rFonts w:hint="eastAsia"/>
        </w:rPr>
        <w:t>二、收入决算情况说明</w:t>
      </w:r>
      <w:bookmarkEnd w:id="48"/>
      <w:bookmarkEnd w:id="49"/>
      <w:bookmarkEnd w:id="50"/>
      <w:bookmarkEnd w:id="51"/>
      <w:bookmarkEnd w:id="52"/>
      <w:bookmarkEnd w:id="53"/>
      <w:bookmarkEnd w:id="54"/>
      <w:bookmarkEnd w:id="55"/>
    </w:p>
    <w:p>
      <w:pPr>
        <w:spacing w:line="590" w:lineRule="exact"/>
        <w:ind w:firstLine="640" w:firstLineChars="200"/>
        <w:jc w:val="left"/>
        <w:outlineLvl w:val="1"/>
        <w:rPr>
          <w:rFonts w:ascii="仿宋" w:hAnsi="仿宋" w:eastAsia="仿宋"/>
          <w:color w:val="000000"/>
          <w:sz w:val="32"/>
          <w:szCs w:val="32"/>
        </w:rPr>
      </w:pPr>
      <w:bookmarkStart w:id="56" w:name="_Toc48743013"/>
      <w:bookmarkStart w:id="57" w:name="_Toc25195"/>
      <w:bookmarkStart w:id="58" w:name="_Toc48743795"/>
      <w:bookmarkStart w:id="59" w:name="_Toc48743194"/>
      <w:bookmarkStart w:id="60" w:name="_Toc48743084"/>
      <w:bookmarkStart w:id="61" w:name="_Toc14369"/>
      <w:bookmarkStart w:id="62" w:name="_Toc3339"/>
      <w:bookmarkStart w:id="63" w:name="_Toc7080"/>
      <w:bookmarkStart w:id="64" w:name="_Toc20288"/>
      <w:bookmarkStart w:id="65" w:name="_Toc22513"/>
      <w:bookmarkStart w:id="66" w:name="_Toc9843"/>
      <w:r>
        <w:rPr>
          <w:rFonts w:ascii="仿宋" w:hAnsi="仿宋" w:eastAsia="仿宋"/>
          <w:color w:val="000000"/>
          <w:sz w:val="32"/>
          <w:szCs w:val="32"/>
        </w:rPr>
        <w:t>20</w:t>
      </w:r>
      <w:r>
        <w:rPr>
          <w:rFonts w:hint="eastAsia" w:ascii="仿宋" w:hAnsi="仿宋" w:eastAsia="仿宋"/>
          <w:color w:val="000000"/>
          <w:sz w:val="32"/>
          <w:szCs w:val="32"/>
        </w:rPr>
        <w:t>22年本年收入合计1205.5万元，其中：一般公共预算财政拨款收入1094.86万元，占90.8</w:t>
      </w:r>
      <w:r>
        <w:rPr>
          <w:rFonts w:ascii="仿宋" w:hAnsi="仿宋" w:eastAsia="仿宋"/>
          <w:color w:val="000000"/>
          <w:sz w:val="32"/>
          <w:szCs w:val="32"/>
        </w:rPr>
        <w:t>%</w:t>
      </w:r>
      <w:r>
        <w:rPr>
          <w:rFonts w:hint="eastAsia" w:ascii="仿宋" w:hAnsi="仿宋" w:eastAsia="仿宋"/>
          <w:color w:val="000000"/>
          <w:sz w:val="32"/>
          <w:szCs w:val="32"/>
        </w:rPr>
        <w:t>；政府性基金预算财政拨款收入110.64万元，占9.2</w:t>
      </w:r>
      <w:r>
        <w:rPr>
          <w:rFonts w:ascii="仿宋" w:hAnsi="仿宋" w:eastAsia="仿宋"/>
          <w:color w:val="000000"/>
          <w:sz w:val="32"/>
          <w:szCs w:val="32"/>
        </w:rPr>
        <w:t>%</w:t>
      </w:r>
      <w:r>
        <w:rPr>
          <w:rFonts w:hint="eastAsia" w:ascii="仿宋" w:hAnsi="仿宋" w:eastAsia="仿宋"/>
          <w:color w:val="000000"/>
          <w:sz w:val="32"/>
          <w:szCs w:val="32"/>
        </w:rPr>
        <w:t>；</w:t>
      </w:r>
      <w:bookmarkEnd w:id="56"/>
      <w:bookmarkEnd w:id="57"/>
      <w:bookmarkEnd w:id="58"/>
      <w:bookmarkEnd w:id="59"/>
      <w:bookmarkEnd w:id="60"/>
      <w:bookmarkEnd w:id="61"/>
      <w:bookmarkEnd w:id="62"/>
      <w:bookmarkEnd w:id="63"/>
      <w:bookmarkEnd w:id="64"/>
      <w:bookmarkEnd w:id="65"/>
      <w:bookmarkEnd w:id="66"/>
      <w:r>
        <w:rPr>
          <w:rFonts w:hint="eastAsia" w:ascii="仿宋" w:hAnsi="仿宋" w:eastAsia="仿宋"/>
          <w:color w:val="000000"/>
          <w:sz w:val="32"/>
          <w:szCs w:val="32"/>
        </w:rPr>
        <w:t>国有资本经营预算财政拨款收入0万元，占0%；上级补助收入0万元，占0%；事业收入0万元，占0%；经营收入0万元，占0%；附属单位上缴收入0万元，占0%；其他收入0万元，占0%。</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收入决算结构图收入决算结构图</w:t>
      </w:r>
      <w:r>
        <w:drawing>
          <wp:anchor distT="0" distB="0" distL="114300" distR="114300" simplePos="0" relativeHeight="251661312" behindDoc="0" locked="0" layoutInCell="1" allowOverlap="1">
            <wp:simplePos x="0" y="0"/>
            <wp:positionH relativeFrom="column">
              <wp:posOffset>423545</wp:posOffset>
            </wp:positionH>
            <wp:positionV relativeFrom="paragraph">
              <wp:posOffset>109220</wp:posOffset>
            </wp:positionV>
            <wp:extent cx="4591050" cy="1846580"/>
            <wp:effectExtent l="4445" t="4445" r="14605" b="15875"/>
            <wp:wrapNone/>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960" w:firstLineChars="30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960" w:firstLineChars="300"/>
        <w:jc w:val="center"/>
      </w:pPr>
      <w:r>
        <w:rPr>
          <w:rFonts w:hint="eastAsia" w:ascii="仿宋" w:hAnsi="仿宋" w:eastAsia="仿宋"/>
          <w:color w:val="000000"/>
          <w:sz w:val="32"/>
          <w:szCs w:val="32"/>
        </w:rPr>
        <w:t>图2：（收入决算结构图）（饼状图）</w:t>
      </w:r>
      <w:bookmarkStart w:id="67" w:name="_Toc7409"/>
      <w:bookmarkStart w:id="68" w:name="_Toc12461"/>
      <w:bookmarkStart w:id="69" w:name="_Toc3982_WPSOffice_Level2"/>
      <w:bookmarkStart w:id="70" w:name="_Toc11133"/>
      <w:bookmarkStart w:id="71" w:name="_Toc48743195"/>
      <w:bookmarkStart w:id="72" w:name="_Toc48743085"/>
      <w:bookmarkStart w:id="73" w:name="_Toc48743014"/>
      <w:bookmarkStart w:id="74" w:name="_Toc15377207"/>
    </w:p>
    <w:p>
      <w:pPr>
        <w:pStyle w:val="4"/>
        <w:spacing w:before="0" w:after="0" w:line="590" w:lineRule="exact"/>
        <w:ind w:firstLine="642" w:firstLineChars="200"/>
        <w:jc w:val="left"/>
      </w:pPr>
      <w:r>
        <w:rPr>
          <w:rFonts w:hint="eastAsia"/>
        </w:rPr>
        <w:t>三、支出决算情况说明</w:t>
      </w:r>
      <w:bookmarkEnd w:id="67"/>
      <w:bookmarkEnd w:id="68"/>
      <w:bookmarkEnd w:id="69"/>
      <w:bookmarkEnd w:id="70"/>
      <w:bookmarkEnd w:id="71"/>
      <w:bookmarkEnd w:id="72"/>
      <w:bookmarkEnd w:id="73"/>
      <w:bookmarkEnd w:id="74"/>
    </w:p>
    <w:p>
      <w:pPr>
        <w:spacing w:line="59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2022年本年支出合计1205.5万元，其中：基本支出271.4万元，占22.7%；项目支出934.1万元，占77.3%</w:t>
      </w:r>
      <w:r>
        <w:rPr>
          <w:rFonts w:eastAsia="仿宋"/>
          <w:color w:val="000000"/>
          <w:sz w:val="32"/>
          <w:szCs w:val="32"/>
        </w:rPr>
        <w:t>；上缴上级支出</w:t>
      </w:r>
      <w:r>
        <w:rPr>
          <w:rFonts w:hint="eastAsia" w:eastAsia="仿宋"/>
          <w:color w:val="000000"/>
          <w:sz w:val="32"/>
          <w:szCs w:val="32"/>
        </w:rPr>
        <w:t>0</w:t>
      </w:r>
      <w:r>
        <w:rPr>
          <w:rFonts w:eastAsia="仿宋"/>
          <w:color w:val="000000"/>
          <w:sz w:val="32"/>
          <w:szCs w:val="32"/>
        </w:rPr>
        <w:t>万元，占</w:t>
      </w:r>
      <w:r>
        <w:rPr>
          <w:rFonts w:hint="eastAsia" w:eastAsia="仿宋"/>
          <w:color w:val="000000"/>
          <w:sz w:val="32"/>
          <w:szCs w:val="32"/>
        </w:rPr>
        <w:t>0</w:t>
      </w:r>
      <w:r>
        <w:rPr>
          <w:rFonts w:eastAsia="仿宋"/>
          <w:color w:val="000000"/>
          <w:sz w:val="32"/>
          <w:szCs w:val="32"/>
        </w:rPr>
        <w:t>%；经营支出</w:t>
      </w:r>
      <w:r>
        <w:rPr>
          <w:rFonts w:hint="eastAsia" w:eastAsia="仿宋"/>
          <w:color w:val="000000"/>
          <w:sz w:val="32"/>
          <w:szCs w:val="32"/>
        </w:rPr>
        <w:t>0</w:t>
      </w:r>
      <w:r>
        <w:rPr>
          <w:rFonts w:eastAsia="仿宋"/>
          <w:color w:val="000000"/>
          <w:sz w:val="32"/>
          <w:szCs w:val="32"/>
        </w:rPr>
        <w:t>万元，占</w:t>
      </w:r>
      <w:r>
        <w:rPr>
          <w:rFonts w:hint="eastAsia" w:eastAsia="仿宋"/>
          <w:color w:val="000000"/>
          <w:sz w:val="32"/>
          <w:szCs w:val="32"/>
        </w:rPr>
        <w:t>0</w:t>
      </w:r>
      <w:r>
        <w:rPr>
          <w:rFonts w:eastAsia="仿宋"/>
          <w:color w:val="000000"/>
          <w:sz w:val="32"/>
          <w:szCs w:val="32"/>
        </w:rPr>
        <w:t>%；对附属单位补助支出</w:t>
      </w:r>
      <w:r>
        <w:rPr>
          <w:rFonts w:hint="eastAsia" w:eastAsia="仿宋"/>
          <w:color w:val="000000"/>
          <w:sz w:val="32"/>
          <w:szCs w:val="32"/>
        </w:rPr>
        <w:t>0</w:t>
      </w:r>
      <w:r>
        <w:rPr>
          <w:rFonts w:eastAsia="仿宋"/>
          <w:color w:val="000000"/>
          <w:sz w:val="32"/>
          <w:szCs w:val="32"/>
        </w:rPr>
        <w:t>万元，占</w:t>
      </w:r>
      <w:r>
        <w:rPr>
          <w:rFonts w:hint="eastAsia" w:eastAsia="仿宋"/>
          <w:color w:val="000000"/>
          <w:sz w:val="32"/>
          <w:szCs w:val="32"/>
        </w:rPr>
        <w:t>0</w:t>
      </w:r>
      <w:r>
        <w:rPr>
          <w:rFonts w:eastAsia="仿宋"/>
          <w:color w:val="000000"/>
          <w:sz w:val="32"/>
          <w:szCs w:val="32"/>
        </w:rPr>
        <w:t>%</w:t>
      </w:r>
      <w:r>
        <w:rPr>
          <w:rFonts w:hint="eastAsia" w:ascii="仿宋" w:hAnsi="仿宋" w:eastAsia="仿宋" w:cs="仿宋"/>
          <w:color w:val="000000"/>
          <w:sz w:val="32"/>
          <w:szCs w:val="32"/>
        </w:rPr>
        <w:t>。</w:t>
      </w:r>
    </w:p>
    <w:p>
      <w:pPr>
        <w:spacing w:line="600" w:lineRule="exact"/>
        <w:ind w:firstLine="420" w:firstLineChars="200"/>
        <w:rPr>
          <w:rFonts w:ascii="仿宋" w:hAnsi="仿宋" w:eastAsia="仿宋" w:cs="仿宋"/>
          <w:color w:val="000000"/>
          <w:sz w:val="32"/>
          <w:szCs w:val="32"/>
        </w:rPr>
      </w:pPr>
      <w:r>
        <w:drawing>
          <wp:anchor distT="0" distB="0" distL="114300" distR="114300" simplePos="0" relativeHeight="251662336" behindDoc="0" locked="0" layoutInCell="1" allowOverlap="1">
            <wp:simplePos x="0" y="0"/>
            <wp:positionH relativeFrom="column">
              <wp:posOffset>128270</wp:posOffset>
            </wp:positionH>
            <wp:positionV relativeFrom="paragraph">
              <wp:posOffset>356870</wp:posOffset>
            </wp:positionV>
            <wp:extent cx="4257675" cy="2676525"/>
            <wp:effectExtent l="4445" t="4445" r="5080" b="5080"/>
            <wp:wrapNone/>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firstLineChars="200"/>
        <w:rPr>
          <w:rFonts w:ascii="仿宋_GB2312" w:eastAsia="仿宋_GB2312"/>
          <w:color w:val="000000"/>
          <w:sz w:val="32"/>
          <w:szCs w:val="32"/>
        </w:rPr>
      </w:pPr>
    </w:p>
    <w:p>
      <w:pPr>
        <w:spacing w:line="600" w:lineRule="exact"/>
        <w:ind w:firstLine="640" w:firstLineChars="200"/>
        <w:rPr>
          <w:rFonts w:ascii="仿宋_GB2312" w:eastAsia="仿宋_GB2312"/>
          <w:color w:val="000000"/>
          <w:sz w:val="32"/>
          <w:szCs w:val="32"/>
        </w:rPr>
      </w:pPr>
    </w:p>
    <w:p>
      <w:pPr>
        <w:spacing w:line="600" w:lineRule="exact"/>
        <w:ind w:firstLine="640" w:firstLineChars="200"/>
        <w:rPr>
          <w:rFonts w:ascii="仿宋_GB2312" w:eastAsia="仿宋_GB2312"/>
          <w:color w:val="000000"/>
          <w:sz w:val="32"/>
          <w:szCs w:val="32"/>
        </w:rPr>
      </w:pPr>
    </w:p>
    <w:p>
      <w:pPr>
        <w:spacing w:line="600" w:lineRule="exact"/>
        <w:ind w:firstLine="640" w:firstLineChars="200"/>
        <w:rPr>
          <w:rFonts w:ascii="仿宋_GB2312" w:eastAsia="仿宋_GB2312"/>
          <w:color w:val="000000"/>
          <w:sz w:val="32"/>
          <w:szCs w:val="32"/>
        </w:rPr>
      </w:pPr>
    </w:p>
    <w:p>
      <w:pPr>
        <w:spacing w:line="600" w:lineRule="exact"/>
        <w:ind w:firstLine="640" w:firstLineChars="200"/>
        <w:rPr>
          <w:rFonts w:ascii="仿宋_GB2312" w:eastAsia="仿宋_GB2312"/>
          <w:color w:val="000000"/>
          <w:sz w:val="32"/>
          <w:szCs w:val="32"/>
        </w:rPr>
      </w:pPr>
    </w:p>
    <w:p>
      <w:pPr>
        <w:pStyle w:val="2"/>
        <w:spacing w:before="93"/>
        <w:rPr>
          <w:color w:val="000000"/>
          <w:sz w:val="32"/>
          <w:szCs w:val="32"/>
        </w:rPr>
      </w:pPr>
    </w:p>
    <w:p>
      <w:pPr>
        <w:pStyle w:val="2"/>
        <w:spacing w:before="93"/>
        <w:rPr>
          <w:color w:val="000000"/>
          <w:sz w:val="32"/>
          <w:szCs w:val="32"/>
        </w:rPr>
      </w:pPr>
    </w:p>
    <w:p>
      <w:pPr>
        <w:pStyle w:val="2"/>
        <w:spacing w:beforeLines="0" w:line="590" w:lineRule="exact"/>
        <w:ind w:firstLine="640" w:firstLineChars="200"/>
        <w:jc w:val="center"/>
      </w:pPr>
      <w:r>
        <w:rPr>
          <w:rFonts w:ascii="Times New Roman" w:eastAsia="仿宋"/>
          <w:color w:val="000000" w:themeColor="text1"/>
          <w:sz w:val="32"/>
          <w:szCs w:val="32"/>
        </w:rPr>
        <w:t>（图3：支出决算结构图）（饼状图）</w:t>
      </w:r>
      <w:bookmarkStart w:id="75" w:name="_Toc48743196"/>
      <w:bookmarkStart w:id="76" w:name="_Toc48743015"/>
      <w:bookmarkStart w:id="77" w:name="_Toc48743086"/>
      <w:bookmarkStart w:id="78" w:name="_Toc8243_WPSOffice_Level2"/>
      <w:bookmarkStart w:id="79" w:name="_Toc29407"/>
    </w:p>
    <w:p>
      <w:pPr>
        <w:pStyle w:val="4"/>
        <w:spacing w:before="0" w:after="0" w:line="590" w:lineRule="exact"/>
        <w:ind w:firstLine="642" w:firstLineChars="200"/>
      </w:pPr>
      <w:r>
        <w:rPr>
          <w:rFonts w:hint="eastAsia"/>
        </w:rPr>
        <w:t>四、财政拨款收入支出决算总体情况</w:t>
      </w:r>
      <w:bookmarkEnd w:id="75"/>
      <w:bookmarkEnd w:id="76"/>
      <w:bookmarkEnd w:id="77"/>
      <w:bookmarkEnd w:id="78"/>
      <w:bookmarkEnd w:id="79"/>
      <w:r>
        <w:rPr>
          <w:rFonts w:hint="eastAsia"/>
        </w:rPr>
        <w:t>说明</w:t>
      </w:r>
    </w:p>
    <w:p>
      <w:pPr>
        <w:spacing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2022年财政拨款收入、支出总计1205.5万元。与2021年相比，财政拨款收入、支出总计各增加287.44万元，增长23%。主要变动原因是民生任务增加。</w:t>
      </w:r>
    </w:p>
    <w:p>
      <w:pPr>
        <w:spacing w:line="600" w:lineRule="exact"/>
        <w:ind w:firstLine="420" w:firstLineChars="200"/>
        <w:rPr>
          <w:rFonts w:ascii="仿宋_GB2312" w:eastAsia="仿宋_GB2312"/>
          <w:color w:val="000000"/>
          <w:sz w:val="32"/>
          <w:szCs w:val="32"/>
        </w:rPr>
      </w:pPr>
      <w:r>
        <w:drawing>
          <wp:anchor distT="0" distB="0" distL="114300" distR="114300" simplePos="0" relativeHeight="251663360" behindDoc="0" locked="0" layoutInCell="1" allowOverlap="1">
            <wp:simplePos x="0" y="0"/>
            <wp:positionH relativeFrom="column">
              <wp:posOffset>182245</wp:posOffset>
            </wp:positionH>
            <wp:positionV relativeFrom="paragraph">
              <wp:posOffset>99695</wp:posOffset>
            </wp:positionV>
            <wp:extent cx="4572000" cy="2743200"/>
            <wp:effectExtent l="4445" t="4445" r="14605" b="14605"/>
            <wp:wrapNone/>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rPr>
          <w:rFonts w:ascii="仿宋_GB2312" w:eastAsia="仿宋_GB2312"/>
          <w:color w:val="000000"/>
          <w:sz w:val="32"/>
          <w:szCs w:val="32"/>
        </w:rPr>
      </w:pPr>
    </w:p>
    <w:p>
      <w:pPr>
        <w:spacing w:line="600" w:lineRule="exact"/>
        <w:ind w:firstLine="640" w:firstLineChars="200"/>
        <w:rPr>
          <w:rFonts w:ascii="仿宋_GB2312" w:eastAsia="仿宋_GB2312"/>
          <w:color w:val="000000"/>
          <w:sz w:val="32"/>
          <w:szCs w:val="32"/>
        </w:rPr>
      </w:pPr>
    </w:p>
    <w:p>
      <w:pPr>
        <w:pStyle w:val="33"/>
        <w:spacing w:line="600" w:lineRule="exact"/>
        <w:ind w:left="640" w:firstLine="0" w:firstLineChars="0"/>
        <w:rPr>
          <w:rFonts w:ascii="黑体" w:hAnsi="黑体" w:eastAsia="黑体"/>
          <w:color w:val="000000"/>
          <w:sz w:val="32"/>
          <w:szCs w:val="32"/>
        </w:rPr>
      </w:pPr>
      <w:bookmarkStart w:id="80" w:name="_Toc14776_WPSOffice_Level2"/>
      <w:bookmarkStart w:id="81" w:name="_Toc48743016"/>
      <w:bookmarkStart w:id="82" w:name="_Toc48743087"/>
      <w:bookmarkStart w:id="83" w:name="_Toc48743197"/>
    </w:p>
    <w:p>
      <w:pPr>
        <w:pStyle w:val="33"/>
        <w:spacing w:line="600" w:lineRule="exact"/>
        <w:ind w:left="640" w:firstLine="0" w:firstLineChars="0"/>
        <w:rPr>
          <w:rFonts w:ascii="黑体" w:hAnsi="黑体" w:eastAsia="黑体"/>
          <w:color w:val="000000"/>
          <w:sz w:val="32"/>
          <w:szCs w:val="32"/>
        </w:rPr>
      </w:pPr>
    </w:p>
    <w:p>
      <w:pPr>
        <w:pStyle w:val="33"/>
        <w:spacing w:line="600" w:lineRule="exact"/>
        <w:ind w:left="640" w:firstLine="0" w:firstLineChars="0"/>
        <w:rPr>
          <w:rFonts w:ascii="黑体" w:hAnsi="黑体" w:eastAsia="黑体"/>
          <w:color w:val="000000"/>
          <w:sz w:val="32"/>
          <w:szCs w:val="32"/>
        </w:rPr>
      </w:pPr>
    </w:p>
    <w:p>
      <w:pPr>
        <w:pStyle w:val="33"/>
        <w:spacing w:line="600" w:lineRule="exact"/>
        <w:ind w:left="640" w:firstLine="0" w:firstLineChars="0"/>
        <w:rPr>
          <w:rFonts w:ascii="黑体" w:hAnsi="黑体" w:eastAsia="黑体"/>
          <w:color w:val="000000"/>
          <w:sz w:val="32"/>
          <w:szCs w:val="32"/>
        </w:rPr>
      </w:pPr>
    </w:p>
    <w:p>
      <w:pPr>
        <w:pStyle w:val="33"/>
        <w:spacing w:line="600" w:lineRule="exact"/>
        <w:ind w:left="640" w:firstLine="0" w:firstLineChars="0"/>
        <w:rPr>
          <w:rFonts w:ascii="黑体" w:hAnsi="黑体" w:eastAsia="黑体"/>
          <w:color w:val="000000"/>
          <w:sz w:val="32"/>
          <w:szCs w:val="32"/>
        </w:rPr>
      </w:pPr>
    </w:p>
    <w:p>
      <w:pPr>
        <w:spacing w:line="590" w:lineRule="exact"/>
        <w:ind w:firstLine="640" w:firstLineChars="200"/>
        <w:jc w:val="left"/>
        <w:rPr>
          <w:rFonts w:eastAsia="仿宋"/>
          <w:color w:val="000000" w:themeColor="text1"/>
          <w:sz w:val="32"/>
          <w:szCs w:val="32"/>
        </w:rPr>
      </w:pPr>
      <w:bookmarkStart w:id="84" w:name="_Toc29646"/>
      <w:r>
        <w:rPr>
          <w:rFonts w:eastAsia="仿宋"/>
          <w:color w:val="000000" w:themeColor="text1"/>
          <w:sz w:val="32"/>
          <w:szCs w:val="32"/>
        </w:rPr>
        <w:t>（图4：财政拨款收、支决算总计变动情况）（柱状图）</w:t>
      </w:r>
    </w:p>
    <w:p>
      <w:pPr>
        <w:pStyle w:val="4"/>
        <w:spacing w:before="0" w:after="0" w:line="590" w:lineRule="exact"/>
        <w:ind w:firstLine="642" w:firstLineChars="200"/>
        <w:jc w:val="left"/>
      </w:pPr>
      <w:r>
        <w:rPr>
          <w:rFonts w:hint="eastAsia"/>
        </w:rPr>
        <w:t>五、一般公共预算财政拨款支出决算情况</w:t>
      </w:r>
      <w:bookmarkEnd w:id="80"/>
      <w:bookmarkEnd w:id="81"/>
      <w:bookmarkEnd w:id="82"/>
      <w:bookmarkEnd w:id="83"/>
      <w:bookmarkEnd w:id="84"/>
      <w:r>
        <w:rPr>
          <w:rFonts w:hint="eastAsia"/>
        </w:rPr>
        <w:t>说明</w:t>
      </w:r>
    </w:p>
    <w:p>
      <w:pPr>
        <w:pStyle w:val="33"/>
        <w:spacing w:line="590" w:lineRule="exact"/>
        <w:ind w:firstLine="643"/>
        <w:jc w:val="left"/>
        <w:outlineLvl w:val="2"/>
        <w:rPr>
          <w:rFonts w:ascii="仿宋" w:hAnsi="仿宋" w:eastAsia="仿宋" w:cs="仿宋"/>
          <w:b/>
          <w:bCs/>
          <w:color w:val="000000"/>
          <w:sz w:val="32"/>
          <w:szCs w:val="32"/>
        </w:rPr>
      </w:pPr>
      <w:r>
        <w:rPr>
          <w:rFonts w:hint="eastAsia" w:ascii="仿宋" w:hAnsi="仿宋" w:eastAsia="仿宋" w:cs="仿宋"/>
          <w:b/>
          <w:bCs/>
          <w:color w:val="000000"/>
          <w:sz w:val="32"/>
          <w:szCs w:val="32"/>
        </w:rPr>
        <w:t>（一）一般公共预算财政拨款支出决算总体情况</w:t>
      </w:r>
    </w:p>
    <w:p>
      <w:pPr>
        <w:pStyle w:val="33"/>
        <w:spacing w:line="590" w:lineRule="exact"/>
        <w:ind w:firstLine="640"/>
        <w:jc w:val="left"/>
        <w:outlineLvl w:val="1"/>
        <w:rPr>
          <w:rFonts w:ascii="仿宋" w:hAnsi="仿宋" w:eastAsia="仿宋" w:cs="仿宋"/>
          <w:color w:val="000000"/>
          <w:sz w:val="32"/>
          <w:szCs w:val="32"/>
        </w:rPr>
      </w:pPr>
      <w:bookmarkStart w:id="85" w:name="_Toc600"/>
      <w:bookmarkStart w:id="86" w:name="_Toc116"/>
      <w:bookmarkStart w:id="87" w:name="_Toc21600"/>
      <w:bookmarkStart w:id="88" w:name="_Toc1128"/>
      <w:bookmarkStart w:id="89" w:name="_Toc4696"/>
      <w:r>
        <w:rPr>
          <w:rFonts w:hint="eastAsia" w:ascii="仿宋" w:hAnsi="仿宋" w:eastAsia="仿宋" w:cs="仿宋"/>
          <w:color w:val="000000"/>
          <w:sz w:val="32"/>
          <w:szCs w:val="32"/>
        </w:rPr>
        <w:t>2022年一般公共预算财政拨款支出1094.86万元，占本年支出合计的90.8%。与2021年相比，一般公共预算财政拨款增加318.85万元，增加29%。</w:t>
      </w:r>
      <w:bookmarkEnd w:id="85"/>
      <w:bookmarkEnd w:id="86"/>
      <w:bookmarkEnd w:id="87"/>
      <w:bookmarkEnd w:id="88"/>
      <w:bookmarkEnd w:id="89"/>
      <w:r>
        <w:rPr>
          <w:rFonts w:hint="eastAsia" w:ascii="仿宋" w:hAnsi="仿宋" w:eastAsia="仿宋" w:cs="仿宋"/>
          <w:color w:val="000000"/>
          <w:sz w:val="32"/>
          <w:szCs w:val="32"/>
        </w:rPr>
        <w:t>主要原因是增加了残疾儿童康复救助和残疾人基本康复服务任务。</w:t>
      </w:r>
    </w:p>
    <w:p>
      <w:pPr>
        <w:pStyle w:val="33"/>
        <w:spacing w:line="590" w:lineRule="exact"/>
        <w:jc w:val="left"/>
        <w:outlineLvl w:val="1"/>
        <w:rPr>
          <w:rFonts w:ascii="仿宋" w:hAnsi="仿宋" w:eastAsia="仿宋" w:cs="仿宋"/>
          <w:color w:val="000000"/>
          <w:sz w:val="32"/>
          <w:szCs w:val="32"/>
        </w:rPr>
      </w:pPr>
      <w:r>
        <w:drawing>
          <wp:anchor distT="0" distB="0" distL="114300" distR="114300" simplePos="0" relativeHeight="251664384" behindDoc="0" locked="0" layoutInCell="1" allowOverlap="1">
            <wp:simplePos x="0" y="0"/>
            <wp:positionH relativeFrom="column">
              <wp:posOffset>391795</wp:posOffset>
            </wp:positionH>
            <wp:positionV relativeFrom="paragraph">
              <wp:posOffset>294640</wp:posOffset>
            </wp:positionV>
            <wp:extent cx="4478020" cy="1885950"/>
            <wp:effectExtent l="5080" t="4445" r="12700" b="14605"/>
            <wp:wrapNone/>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Style w:val="33"/>
        <w:spacing w:line="590" w:lineRule="exact"/>
        <w:ind w:firstLine="640"/>
        <w:jc w:val="left"/>
        <w:outlineLvl w:val="1"/>
        <w:rPr>
          <w:rFonts w:ascii="仿宋" w:hAnsi="仿宋" w:eastAsia="仿宋" w:cs="仿宋"/>
          <w:color w:val="000000"/>
          <w:sz w:val="32"/>
          <w:szCs w:val="32"/>
        </w:rPr>
      </w:pPr>
    </w:p>
    <w:p>
      <w:pPr>
        <w:pStyle w:val="33"/>
        <w:spacing w:line="590" w:lineRule="exact"/>
        <w:ind w:firstLine="640"/>
        <w:jc w:val="left"/>
        <w:outlineLvl w:val="1"/>
        <w:rPr>
          <w:rFonts w:ascii="仿宋" w:hAnsi="仿宋" w:eastAsia="仿宋" w:cs="仿宋"/>
          <w:color w:val="000000"/>
          <w:sz w:val="32"/>
          <w:szCs w:val="32"/>
        </w:rPr>
      </w:pPr>
    </w:p>
    <w:p>
      <w:pPr>
        <w:pStyle w:val="33"/>
        <w:spacing w:line="600" w:lineRule="exact"/>
        <w:ind w:firstLine="0" w:firstLineChars="0"/>
        <w:rPr>
          <w:rFonts w:ascii="仿宋_GB2312" w:eastAsia="仿宋_GB2312"/>
          <w:color w:val="000000"/>
          <w:sz w:val="32"/>
          <w:szCs w:val="32"/>
        </w:rPr>
      </w:pPr>
    </w:p>
    <w:p>
      <w:pPr>
        <w:pStyle w:val="33"/>
        <w:spacing w:line="600" w:lineRule="exact"/>
        <w:ind w:left="640" w:firstLine="0" w:firstLineChars="0"/>
        <w:rPr>
          <w:rFonts w:ascii="仿宋_GB2312" w:eastAsia="仿宋_GB2312"/>
          <w:color w:val="000000"/>
          <w:sz w:val="32"/>
          <w:szCs w:val="32"/>
        </w:rPr>
      </w:pPr>
    </w:p>
    <w:p>
      <w:pPr>
        <w:pStyle w:val="33"/>
        <w:spacing w:line="600" w:lineRule="exact"/>
        <w:ind w:firstLine="0" w:firstLineChars="0"/>
        <w:rPr>
          <w:rFonts w:ascii="仿宋_GB2312" w:eastAsia="仿宋_GB2312"/>
          <w:color w:val="000000"/>
          <w:sz w:val="32"/>
          <w:szCs w:val="32"/>
        </w:rPr>
      </w:pPr>
    </w:p>
    <w:p>
      <w:pPr>
        <w:spacing w:line="590" w:lineRule="exact"/>
        <w:ind w:firstLine="640" w:firstLineChars="200"/>
        <w:jc w:val="left"/>
        <w:rPr>
          <w:rFonts w:ascii="仿宋_GB2312" w:eastAsia="仿宋_GB2312"/>
          <w:color w:val="000000"/>
          <w:sz w:val="32"/>
          <w:szCs w:val="32"/>
        </w:rPr>
      </w:pPr>
      <w:r>
        <w:rPr>
          <w:rFonts w:eastAsia="仿宋"/>
          <w:color w:val="000000" w:themeColor="text1"/>
          <w:sz w:val="32"/>
          <w:szCs w:val="32"/>
        </w:rPr>
        <w:t>（图5：一般公共预算财政拨款支出决算变动情况）（柱状图）</w:t>
      </w:r>
    </w:p>
    <w:p>
      <w:pPr>
        <w:pStyle w:val="33"/>
        <w:spacing w:line="590" w:lineRule="exact"/>
        <w:ind w:firstLine="643"/>
        <w:jc w:val="left"/>
        <w:outlineLvl w:val="2"/>
        <w:rPr>
          <w:rFonts w:ascii="仿宋" w:hAnsi="仿宋" w:eastAsia="仿宋" w:cs="仿宋"/>
          <w:color w:val="000000"/>
          <w:sz w:val="32"/>
          <w:szCs w:val="32"/>
        </w:rPr>
      </w:pPr>
      <w:r>
        <w:rPr>
          <w:rFonts w:hint="eastAsia" w:ascii="仿宋" w:hAnsi="仿宋" w:eastAsia="仿宋" w:cs="仿宋"/>
          <w:b/>
          <w:bCs/>
          <w:color w:val="000000"/>
          <w:sz w:val="32"/>
          <w:szCs w:val="32"/>
        </w:rPr>
        <w:t>（二）一般公共预算财政拨款支出决算结构情况</w:t>
      </w:r>
    </w:p>
    <w:p>
      <w:pPr>
        <w:pStyle w:val="33"/>
        <w:spacing w:line="590" w:lineRule="exact"/>
        <w:ind w:firstLine="640"/>
        <w:jc w:val="left"/>
        <w:outlineLvl w:val="1"/>
        <w:rPr>
          <w:rFonts w:ascii="仿宋_GB2312" w:eastAsia="仿宋_GB2312"/>
          <w:color w:val="0000FF"/>
          <w:sz w:val="32"/>
          <w:szCs w:val="32"/>
        </w:rPr>
      </w:pPr>
      <w:bookmarkStart w:id="90" w:name="_Toc25779"/>
      <w:bookmarkStart w:id="91" w:name="_Toc23924"/>
      <w:bookmarkStart w:id="92" w:name="_Toc16"/>
      <w:bookmarkStart w:id="93" w:name="_Toc27035"/>
      <w:bookmarkStart w:id="94" w:name="_Toc6845"/>
      <w:r>
        <w:rPr>
          <w:rFonts w:hint="eastAsia" w:ascii="仿宋" w:hAnsi="仿宋" w:eastAsia="仿宋" w:cs="仿宋"/>
          <w:color w:val="000000"/>
          <w:sz w:val="32"/>
          <w:szCs w:val="32"/>
        </w:rPr>
        <w:t>2022年一般公共预算财政拨款支出1094.86万元，主要用于以下方面:</w:t>
      </w:r>
      <w:r>
        <w:rPr>
          <w:rFonts w:eastAsia="仿宋"/>
          <w:b/>
          <w:color w:val="000000" w:themeColor="text1"/>
          <w:sz w:val="32"/>
          <w:szCs w:val="32"/>
        </w:rPr>
        <w:t>一般公共服务</w:t>
      </w:r>
      <w:r>
        <w:rPr>
          <w:rFonts w:eastAsia="仿宋"/>
          <w:b/>
          <w:bCs/>
          <w:color w:val="000000" w:themeColor="text1"/>
          <w:sz w:val="32"/>
          <w:szCs w:val="32"/>
        </w:rPr>
        <w:t>支出</w:t>
      </w:r>
      <w:r>
        <w:rPr>
          <w:rFonts w:hint="eastAsia" w:eastAsia="仿宋"/>
          <w:color w:val="000000" w:themeColor="text1"/>
          <w:sz w:val="32"/>
          <w:szCs w:val="32"/>
        </w:rPr>
        <w:t>0</w:t>
      </w:r>
      <w:r>
        <w:rPr>
          <w:rFonts w:eastAsia="仿宋"/>
          <w:color w:val="000000" w:themeColor="text1"/>
          <w:sz w:val="32"/>
          <w:szCs w:val="32"/>
        </w:rPr>
        <w:t>万元，占</w:t>
      </w:r>
      <w:r>
        <w:rPr>
          <w:rFonts w:hint="eastAsia" w:eastAsia="仿宋"/>
          <w:color w:val="000000" w:themeColor="text1"/>
          <w:sz w:val="32"/>
          <w:szCs w:val="32"/>
        </w:rPr>
        <w:t>0</w:t>
      </w:r>
      <w:r>
        <w:rPr>
          <w:rFonts w:eastAsia="仿宋"/>
          <w:color w:val="000000" w:themeColor="text1"/>
          <w:sz w:val="32"/>
          <w:szCs w:val="32"/>
        </w:rPr>
        <w:t>%；</w:t>
      </w:r>
      <w:r>
        <w:rPr>
          <w:rFonts w:eastAsia="仿宋"/>
          <w:b/>
          <w:color w:val="000000" w:themeColor="text1"/>
          <w:sz w:val="32"/>
          <w:szCs w:val="32"/>
        </w:rPr>
        <w:t>教育支出</w:t>
      </w:r>
      <w:r>
        <w:rPr>
          <w:rFonts w:hint="eastAsia" w:eastAsia="仿宋"/>
          <w:color w:val="000000" w:themeColor="text1"/>
          <w:sz w:val="32"/>
          <w:szCs w:val="32"/>
        </w:rPr>
        <w:t>0</w:t>
      </w:r>
      <w:r>
        <w:rPr>
          <w:rFonts w:eastAsia="仿宋"/>
          <w:color w:val="000000" w:themeColor="text1"/>
          <w:sz w:val="32"/>
          <w:szCs w:val="32"/>
        </w:rPr>
        <w:t>万元，占</w:t>
      </w:r>
      <w:r>
        <w:rPr>
          <w:rFonts w:hint="eastAsia" w:eastAsia="仿宋"/>
          <w:color w:val="000000" w:themeColor="text1"/>
          <w:sz w:val="32"/>
          <w:szCs w:val="32"/>
        </w:rPr>
        <w:t>0</w:t>
      </w:r>
      <w:r>
        <w:rPr>
          <w:rFonts w:eastAsia="仿宋"/>
          <w:color w:val="000000" w:themeColor="text1"/>
          <w:sz w:val="32"/>
          <w:szCs w:val="32"/>
        </w:rPr>
        <w:t>%；</w:t>
      </w:r>
      <w:r>
        <w:rPr>
          <w:rFonts w:eastAsia="仿宋"/>
          <w:b/>
          <w:color w:val="000000" w:themeColor="text1"/>
          <w:sz w:val="32"/>
          <w:szCs w:val="32"/>
        </w:rPr>
        <w:t>科学技术</w:t>
      </w:r>
      <w:r>
        <w:rPr>
          <w:rFonts w:eastAsia="仿宋"/>
          <w:b/>
          <w:bCs/>
          <w:color w:val="000000" w:themeColor="text1"/>
          <w:sz w:val="32"/>
          <w:szCs w:val="32"/>
        </w:rPr>
        <w:t>支出</w:t>
      </w:r>
      <w:r>
        <w:rPr>
          <w:rFonts w:hint="eastAsia" w:eastAsia="仿宋"/>
          <w:color w:val="000000" w:themeColor="text1"/>
          <w:sz w:val="32"/>
          <w:szCs w:val="32"/>
        </w:rPr>
        <w:t>0</w:t>
      </w:r>
      <w:r>
        <w:rPr>
          <w:rFonts w:eastAsia="仿宋"/>
          <w:color w:val="000000" w:themeColor="text1"/>
          <w:sz w:val="32"/>
          <w:szCs w:val="32"/>
        </w:rPr>
        <w:t>万元，占</w:t>
      </w:r>
      <w:r>
        <w:rPr>
          <w:rFonts w:hint="eastAsia" w:eastAsia="仿宋"/>
          <w:color w:val="000000" w:themeColor="text1"/>
          <w:sz w:val="32"/>
          <w:szCs w:val="32"/>
        </w:rPr>
        <w:t>0</w:t>
      </w:r>
      <w:r>
        <w:rPr>
          <w:rFonts w:eastAsia="仿宋"/>
          <w:color w:val="000000" w:themeColor="text1"/>
          <w:sz w:val="32"/>
          <w:szCs w:val="32"/>
        </w:rPr>
        <w:t>%；</w:t>
      </w:r>
      <w:r>
        <w:rPr>
          <w:rFonts w:eastAsia="仿宋"/>
          <w:b/>
          <w:bCs/>
          <w:color w:val="000000" w:themeColor="text1"/>
          <w:sz w:val="32"/>
          <w:szCs w:val="32"/>
        </w:rPr>
        <w:t>文化旅游体育与传媒支出</w:t>
      </w:r>
      <w:r>
        <w:rPr>
          <w:rFonts w:hint="eastAsia" w:eastAsia="仿宋"/>
          <w:b/>
          <w:bCs/>
          <w:color w:val="000000" w:themeColor="text1"/>
          <w:sz w:val="32"/>
          <w:szCs w:val="32"/>
        </w:rPr>
        <w:t>0</w:t>
      </w:r>
      <w:r>
        <w:rPr>
          <w:rFonts w:eastAsia="仿宋"/>
          <w:b/>
          <w:bCs/>
          <w:color w:val="000000" w:themeColor="text1"/>
          <w:sz w:val="32"/>
          <w:szCs w:val="32"/>
        </w:rPr>
        <w:t>万元，</w:t>
      </w:r>
      <w:r>
        <w:rPr>
          <w:rFonts w:eastAsia="仿宋"/>
          <w:color w:val="000000" w:themeColor="text1"/>
          <w:sz w:val="32"/>
          <w:szCs w:val="32"/>
        </w:rPr>
        <w:t>占</w:t>
      </w:r>
      <w:r>
        <w:rPr>
          <w:rFonts w:hint="eastAsia" w:eastAsia="仿宋"/>
          <w:color w:val="000000" w:themeColor="text1"/>
          <w:sz w:val="32"/>
          <w:szCs w:val="32"/>
        </w:rPr>
        <w:t>0</w:t>
      </w:r>
      <w:r>
        <w:rPr>
          <w:rFonts w:eastAsia="仿宋"/>
          <w:color w:val="000000" w:themeColor="text1"/>
          <w:sz w:val="32"/>
          <w:szCs w:val="32"/>
        </w:rPr>
        <w:t>%；</w:t>
      </w:r>
      <w:r>
        <w:rPr>
          <w:rFonts w:hint="eastAsia" w:eastAsia="仿宋"/>
          <w:b/>
          <w:color w:val="000000" w:themeColor="text1"/>
          <w:sz w:val="32"/>
          <w:szCs w:val="32"/>
        </w:rPr>
        <w:t>社会保障和就业支出</w:t>
      </w:r>
      <w:r>
        <w:rPr>
          <w:rFonts w:hint="eastAsia" w:eastAsia="仿宋"/>
          <w:color w:val="000000" w:themeColor="text1"/>
          <w:sz w:val="32"/>
          <w:szCs w:val="32"/>
        </w:rPr>
        <w:t>998.93</w:t>
      </w:r>
      <w:r>
        <w:rPr>
          <w:rFonts w:hint="eastAsia" w:ascii="仿宋" w:hAnsi="仿宋" w:eastAsia="仿宋" w:cs="仿宋"/>
          <w:color w:val="000000"/>
          <w:sz w:val="32"/>
          <w:szCs w:val="32"/>
        </w:rPr>
        <w:t>万元，</w:t>
      </w:r>
      <w:r>
        <w:rPr>
          <w:rFonts w:hint="eastAsia" w:eastAsia="仿宋"/>
          <w:color w:val="000000" w:themeColor="text1"/>
          <w:sz w:val="32"/>
          <w:szCs w:val="32"/>
        </w:rPr>
        <w:t>占91.24%</w:t>
      </w:r>
      <w:bookmarkEnd w:id="90"/>
      <w:bookmarkEnd w:id="91"/>
      <w:bookmarkEnd w:id="92"/>
      <w:bookmarkEnd w:id="93"/>
      <w:bookmarkEnd w:id="94"/>
      <w:r>
        <w:rPr>
          <w:rFonts w:hint="eastAsia" w:eastAsia="仿宋"/>
          <w:color w:val="000000" w:themeColor="text1"/>
          <w:sz w:val="32"/>
          <w:szCs w:val="32"/>
        </w:rPr>
        <w:t>；</w:t>
      </w:r>
      <w:r>
        <w:rPr>
          <w:rFonts w:eastAsia="仿宋"/>
          <w:b/>
          <w:bCs/>
          <w:color w:val="000000" w:themeColor="text1"/>
          <w:sz w:val="32"/>
          <w:szCs w:val="32"/>
        </w:rPr>
        <w:t>卫生健康支出</w:t>
      </w:r>
      <w:r>
        <w:rPr>
          <w:rFonts w:hint="eastAsia" w:eastAsia="仿宋"/>
          <w:color w:val="000000" w:themeColor="text1"/>
          <w:sz w:val="32"/>
          <w:szCs w:val="32"/>
        </w:rPr>
        <w:t>6.13</w:t>
      </w:r>
      <w:r>
        <w:rPr>
          <w:rFonts w:eastAsia="仿宋"/>
          <w:color w:val="000000" w:themeColor="text1"/>
          <w:sz w:val="32"/>
          <w:szCs w:val="32"/>
        </w:rPr>
        <w:t>万元，占</w:t>
      </w:r>
      <w:r>
        <w:rPr>
          <w:rFonts w:hint="eastAsia" w:eastAsia="仿宋"/>
          <w:color w:val="000000" w:themeColor="text1"/>
          <w:sz w:val="32"/>
          <w:szCs w:val="32"/>
        </w:rPr>
        <w:t>0.56</w:t>
      </w:r>
      <w:r>
        <w:rPr>
          <w:rFonts w:eastAsia="仿宋"/>
          <w:color w:val="000000" w:themeColor="text1"/>
          <w:sz w:val="32"/>
          <w:szCs w:val="32"/>
        </w:rPr>
        <w:t>%；</w:t>
      </w:r>
      <w:r>
        <w:rPr>
          <w:rFonts w:eastAsia="仿宋"/>
          <w:b/>
          <w:bCs/>
          <w:color w:val="000000" w:themeColor="text1"/>
          <w:sz w:val="32"/>
          <w:szCs w:val="32"/>
        </w:rPr>
        <w:t>住房保障支出</w:t>
      </w:r>
      <w:r>
        <w:rPr>
          <w:rFonts w:hint="eastAsia" w:eastAsia="仿宋"/>
          <w:color w:val="000000" w:themeColor="text1"/>
          <w:sz w:val="32"/>
          <w:szCs w:val="32"/>
        </w:rPr>
        <w:t>9.79</w:t>
      </w:r>
      <w:r>
        <w:rPr>
          <w:rFonts w:eastAsia="仿宋"/>
          <w:color w:val="000000" w:themeColor="text1"/>
          <w:sz w:val="32"/>
          <w:szCs w:val="32"/>
        </w:rPr>
        <w:t>万元，占</w:t>
      </w:r>
      <w:r>
        <w:rPr>
          <w:rFonts w:hint="eastAsia" w:eastAsia="仿宋"/>
          <w:color w:val="000000" w:themeColor="text1"/>
          <w:sz w:val="32"/>
          <w:szCs w:val="32"/>
        </w:rPr>
        <w:t>0.89</w:t>
      </w:r>
      <w:r>
        <w:rPr>
          <w:rFonts w:eastAsia="仿宋"/>
          <w:color w:val="000000" w:themeColor="text1"/>
          <w:sz w:val="32"/>
          <w:szCs w:val="32"/>
        </w:rPr>
        <w:t>%；</w:t>
      </w:r>
      <w:r>
        <w:rPr>
          <w:rFonts w:eastAsia="仿宋"/>
          <w:b/>
          <w:color w:val="000000" w:themeColor="text1"/>
          <w:sz w:val="32"/>
          <w:szCs w:val="32"/>
        </w:rPr>
        <w:t>农林水支出</w:t>
      </w:r>
      <w:r>
        <w:rPr>
          <w:rFonts w:hint="eastAsia" w:eastAsia="仿宋"/>
          <w:color w:val="000000" w:themeColor="text1"/>
          <w:sz w:val="32"/>
          <w:szCs w:val="32"/>
        </w:rPr>
        <w:t>80万元，占7.31%</w:t>
      </w:r>
      <w:r>
        <w:rPr>
          <w:rFonts w:eastAsia="仿宋"/>
          <w:color w:val="000000" w:themeColor="text1"/>
          <w:sz w:val="32"/>
          <w:szCs w:val="32"/>
        </w:rPr>
        <w:t>。</w:t>
      </w:r>
    </w:p>
    <w:p>
      <w:pPr>
        <w:spacing w:line="600" w:lineRule="exact"/>
        <w:ind w:firstLine="640" w:firstLineChars="200"/>
        <w:jc w:val="center"/>
        <w:rPr>
          <w:rFonts w:ascii="仿宋_GB2312" w:eastAsia="仿宋_GB2312"/>
          <w:color w:val="0000FF"/>
          <w:sz w:val="32"/>
          <w:szCs w:val="32"/>
        </w:rPr>
      </w:pPr>
      <w:r>
        <w:rPr>
          <w:rFonts w:eastAsia="仿宋"/>
          <w:color w:val="000000"/>
          <w:sz w:val="32"/>
          <w:szCs w:val="32"/>
        </w:rPr>
        <w:t>一般公共预算财政拨款支出决算结构</w:t>
      </w:r>
    </w:p>
    <w:p>
      <w:pPr>
        <w:pStyle w:val="2"/>
        <w:spacing w:before="93"/>
        <w:rPr>
          <w:color w:val="0000FF"/>
          <w:sz w:val="32"/>
          <w:szCs w:val="32"/>
        </w:rPr>
      </w:pPr>
      <w:r>
        <w:rPr>
          <w:color w:val="0000FF"/>
          <w:sz w:val="32"/>
          <w:szCs w:val="32"/>
        </w:rPr>
        <w:drawing>
          <wp:inline distT="0" distB="0" distL="0" distR="0">
            <wp:extent cx="5443220" cy="2098675"/>
            <wp:effectExtent l="4445" t="4445" r="19685" b="1143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590" w:lineRule="exact"/>
        <w:ind w:firstLine="640" w:firstLineChars="200"/>
        <w:rPr>
          <w:rFonts w:ascii="仿宋_GB2312" w:eastAsia="仿宋"/>
          <w:color w:val="0000FF"/>
          <w:sz w:val="32"/>
          <w:szCs w:val="32"/>
        </w:rPr>
      </w:pPr>
      <w:r>
        <w:rPr>
          <w:rFonts w:eastAsia="仿宋"/>
          <w:color w:val="000000"/>
          <w:sz w:val="32"/>
          <w:szCs w:val="32"/>
        </w:rPr>
        <w:t>（图6：一般公共预算财政拨款支出决算结构）（饼状图）</w:t>
      </w:r>
    </w:p>
    <w:p>
      <w:pPr>
        <w:numPr>
          <w:ilvl w:val="0"/>
          <w:numId w:val="1"/>
        </w:numPr>
        <w:spacing w:line="590" w:lineRule="exact"/>
        <w:ind w:firstLine="642" w:firstLineChars="200"/>
        <w:outlineLvl w:val="2"/>
        <w:rPr>
          <w:rFonts w:ascii="仿宋" w:hAnsi="仿宋" w:eastAsia="仿宋" w:cs="仿宋"/>
          <w:b/>
          <w:bCs/>
          <w:color w:val="000000"/>
          <w:sz w:val="32"/>
          <w:szCs w:val="32"/>
        </w:rPr>
      </w:pPr>
      <w:r>
        <w:rPr>
          <w:rFonts w:hint="eastAsia" w:ascii="仿宋" w:hAnsi="仿宋" w:eastAsia="仿宋" w:cs="仿宋"/>
          <w:b/>
          <w:bCs/>
          <w:color w:val="000000"/>
          <w:sz w:val="32"/>
          <w:szCs w:val="32"/>
        </w:rPr>
        <w:t>一般公共预算财政拨款支出决算具体情况</w:t>
      </w:r>
    </w:p>
    <w:p>
      <w:pPr>
        <w:spacing w:line="590" w:lineRule="exact"/>
        <w:ind w:firstLine="642" w:firstLineChars="200"/>
        <w:rPr>
          <w:rStyle w:val="16"/>
          <w:rFonts w:eastAsia="仿宋"/>
          <w:color w:val="000000"/>
          <w:sz w:val="32"/>
          <w:szCs w:val="32"/>
        </w:rPr>
      </w:pPr>
      <w:bookmarkStart w:id="95" w:name="_Toc15378460"/>
      <w:bookmarkStart w:id="96" w:name="_Toc15377444"/>
      <w:bookmarkStart w:id="97" w:name="_Toc15377213"/>
      <w:r>
        <w:rPr>
          <w:rFonts w:eastAsia="仿宋"/>
          <w:b/>
          <w:color w:val="000000" w:themeColor="text1"/>
          <w:sz w:val="32"/>
          <w:szCs w:val="32"/>
        </w:rPr>
        <w:t>2022年一般公共预算支出决算数为</w:t>
      </w:r>
      <w:r>
        <w:rPr>
          <w:rFonts w:ascii="仿宋" w:hAnsi="仿宋" w:eastAsia="仿宋" w:cs="仿宋"/>
          <w:color w:val="000000"/>
          <w:sz w:val="32"/>
          <w:szCs w:val="32"/>
        </w:rPr>
        <w:t>1094.86</w:t>
      </w:r>
      <w:r>
        <w:rPr>
          <w:rFonts w:hint="eastAsia" w:eastAsia="仿宋"/>
          <w:b/>
          <w:color w:val="000000" w:themeColor="text1"/>
          <w:sz w:val="32"/>
          <w:szCs w:val="32"/>
        </w:rPr>
        <w:t>万元</w:t>
      </w:r>
      <w:r>
        <w:rPr>
          <w:rFonts w:eastAsia="仿宋"/>
          <w:color w:val="000000" w:themeColor="text1"/>
          <w:sz w:val="32"/>
          <w:szCs w:val="32"/>
        </w:rPr>
        <w:t>，</w:t>
      </w:r>
      <w:r>
        <w:rPr>
          <w:rStyle w:val="16"/>
          <w:rFonts w:eastAsia="仿宋"/>
          <w:color w:val="000000" w:themeColor="text1"/>
          <w:sz w:val="32"/>
          <w:szCs w:val="32"/>
        </w:rPr>
        <w:t>完成</w:t>
      </w:r>
      <w:r>
        <w:rPr>
          <w:rStyle w:val="16"/>
          <w:rFonts w:eastAsia="仿宋"/>
          <w:color w:val="000000"/>
          <w:sz w:val="32"/>
          <w:szCs w:val="32"/>
        </w:rPr>
        <w:t>预算</w:t>
      </w:r>
      <w:r>
        <w:rPr>
          <w:rFonts w:hint="eastAsia" w:ascii="仿宋" w:hAnsi="仿宋" w:eastAsia="仿宋" w:cs="仿宋"/>
          <w:color w:val="000000"/>
          <w:sz w:val="32"/>
          <w:szCs w:val="32"/>
        </w:rPr>
        <w:t>100</w:t>
      </w:r>
      <w:r>
        <w:rPr>
          <w:rStyle w:val="16"/>
          <w:rFonts w:eastAsia="仿宋"/>
          <w:color w:val="000000"/>
          <w:sz w:val="32"/>
          <w:szCs w:val="32"/>
        </w:rPr>
        <w:t>%。其中：</w:t>
      </w:r>
      <w:bookmarkEnd w:id="95"/>
      <w:bookmarkEnd w:id="96"/>
      <w:bookmarkEnd w:id="97"/>
    </w:p>
    <w:p>
      <w:pPr>
        <w:spacing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1.社会保障和就业支出（类）行政事业单位养老支出（款）机关事业单位基本养老保险缴费支出（项）:支出决算数为9.35万元，完成预算100%。决算数等于预算数。</w:t>
      </w:r>
    </w:p>
    <w:p>
      <w:pPr>
        <w:spacing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2.社会保障和就业支出（类）行政事业单位养老支出（款） 机关事业单位职业年金缴费支出（项）:支出决算数为3.27万元，完成预算100%。决算数等于预算数。</w:t>
      </w:r>
    </w:p>
    <w:p>
      <w:pPr>
        <w:spacing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3.社会保障和就业支出（类）残疾人事业（款）行政运行（项）:支出决算数为186.22万元，完成预算数100%。决算数等于预算数。</w:t>
      </w:r>
    </w:p>
    <w:p>
      <w:pPr>
        <w:spacing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4.社会保障和就业支出（类）残疾人事业（款）一般行政管理事务（项）:支出决算数为66.92万元，完成预算数100%。决算数等于预算数。</w:t>
      </w:r>
    </w:p>
    <w:p>
      <w:pPr>
        <w:spacing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5.社会保障和就业支出（类）残疾人事业（款）残疾人康复（项）：支出决算数为194.91万元，完成预算数100%。决算数等于预算数。　</w:t>
      </w:r>
    </w:p>
    <w:p>
      <w:pPr>
        <w:spacing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6.社会保障和就业支出（类）残疾人事业（款）其他残疾人事业支出（项）：支出决算数为538.28万元，完成预算数100%。决算数等于预算数。</w:t>
      </w:r>
    </w:p>
    <w:p>
      <w:pPr>
        <w:spacing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7.卫生健康支出（类）行政事业单位医疗（款）行政单位医疗（项）：支出决算数为3.83万元，完成预算数100%。决算数等于预算数。</w:t>
      </w:r>
    </w:p>
    <w:p>
      <w:pPr>
        <w:spacing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8. 卫生健康支出（类）行政事业单位医疗（款）事业单位医疗（项）：支出决算数为1.12万元，完成预算数100%。决算数等于预算数。</w:t>
      </w:r>
    </w:p>
    <w:p>
      <w:pPr>
        <w:spacing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9.卫生健康支出（类）行政事业单位医疗（款）公务员医疗补助（项）：支出决算数为1.18万元，完成预算数100%。决算数等于预算数。</w:t>
      </w:r>
    </w:p>
    <w:p>
      <w:pPr>
        <w:pStyle w:val="2"/>
        <w:spacing w:beforeLines="0" w:line="590" w:lineRule="exact"/>
        <w:ind w:firstLine="640" w:firstLineChars="200"/>
        <w:rPr>
          <w:rFonts w:ascii="仿宋" w:hAnsi="仿宋" w:eastAsia="仿宋" w:cs="仿宋"/>
          <w:color w:val="000000"/>
          <w:kern w:val="2"/>
          <w:sz w:val="32"/>
          <w:szCs w:val="32"/>
        </w:rPr>
      </w:pPr>
      <w:r>
        <w:rPr>
          <w:rFonts w:hint="eastAsia" w:ascii="仿宋" w:hAnsi="仿宋" w:eastAsia="仿宋" w:cs="仿宋"/>
          <w:color w:val="000000"/>
          <w:kern w:val="2"/>
          <w:sz w:val="32"/>
          <w:szCs w:val="32"/>
        </w:rPr>
        <w:t>10.农林水支出（类）巩固脱贫衔接乡村振兴（款）其他巩固脱贫衔接乡村振兴支出（项）：支出决算数为80万元，完成预算数100%。决算数等于预算数。</w:t>
      </w:r>
    </w:p>
    <w:p>
      <w:pPr>
        <w:pStyle w:val="2"/>
        <w:spacing w:beforeLines="0" w:line="590" w:lineRule="exact"/>
        <w:ind w:firstLine="640" w:firstLineChars="200"/>
        <w:rPr>
          <w:rFonts w:ascii="仿宋" w:hAnsi="仿宋" w:eastAsia="仿宋" w:cs="仿宋"/>
          <w:color w:val="000000"/>
          <w:kern w:val="2"/>
          <w:sz w:val="32"/>
          <w:szCs w:val="32"/>
        </w:rPr>
      </w:pPr>
      <w:r>
        <w:rPr>
          <w:rFonts w:hint="eastAsia" w:ascii="仿宋" w:hAnsi="仿宋" w:eastAsia="仿宋" w:cs="仿宋"/>
          <w:color w:val="000000"/>
          <w:kern w:val="2"/>
          <w:sz w:val="32"/>
          <w:szCs w:val="32"/>
        </w:rPr>
        <w:t>11.住房保障支出（类）住房改革支出（款）住房公积金（项）：支出决算数为9.79万元，完成预算数100%。决算数等于预算数。</w:t>
      </w:r>
    </w:p>
    <w:p>
      <w:pPr>
        <w:pStyle w:val="4"/>
        <w:spacing w:before="0" w:after="0" w:line="590" w:lineRule="exact"/>
        <w:ind w:firstLine="642" w:firstLineChars="200"/>
      </w:pPr>
      <w:bookmarkStart w:id="98" w:name="_Toc21887_WPSOffice_Level2"/>
      <w:bookmarkStart w:id="99" w:name="_Toc48743017"/>
      <w:bookmarkStart w:id="100" w:name="_Toc48743198"/>
      <w:bookmarkStart w:id="101" w:name="_Toc6364"/>
      <w:bookmarkStart w:id="102" w:name="_Toc48743088"/>
      <w:r>
        <w:rPr>
          <w:rFonts w:hint="eastAsia"/>
        </w:rPr>
        <w:t>六、一般公共预算财政拨款基本支出决算情况</w:t>
      </w:r>
      <w:bookmarkEnd w:id="98"/>
      <w:bookmarkEnd w:id="99"/>
      <w:bookmarkEnd w:id="100"/>
      <w:bookmarkEnd w:id="101"/>
      <w:bookmarkEnd w:id="102"/>
      <w:r>
        <w:rPr>
          <w:rFonts w:hint="eastAsia"/>
        </w:rPr>
        <w:t>说明</w:t>
      </w:r>
    </w:p>
    <w:p>
      <w:pPr>
        <w:spacing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2022年一般公共预算财政拨款基本支出271.4万元，其中：</w:t>
      </w:r>
    </w:p>
    <w:p>
      <w:pPr>
        <w:spacing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人员经费241.44万元，主要包括：基本工资、津贴补贴、奖金、伙食补助费、绩效工资、其他工资福利支出、离休费、退休费、抚恤金、生活补助、奖励金、其他对个人和家庭的补助支出。</w:t>
      </w:r>
    </w:p>
    <w:p>
      <w:pPr>
        <w:spacing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公用经费29.96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pPr>
        <w:pStyle w:val="4"/>
        <w:spacing w:before="0" w:after="0" w:line="590" w:lineRule="exact"/>
        <w:ind w:firstLine="642" w:firstLineChars="200"/>
      </w:pPr>
      <w:bookmarkStart w:id="103" w:name="_Toc20110"/>
      <w:bookmarkStart w:id="104" w:name="_Toc48743199"/>
      <w:bookmarkStart w:id="105" w:name="_Toc48743089"/>
      <w:bookmarkStart w:id="106" w:name="_Toc48743018"/>
      <w:bookmarkStart w:id="107" w:name="_Toc10516_WPSOffice_Level2"/>
      <w:r>
        <w:rPr>
          <w:rFonts w:hint="eastAsia"/>
        </w:rPr>
        <w:t>七、一般公共预算财政拨款项目支出决算情况说明</w:t>
      </w:r>
      <w:bookmarkEnd w:id="103"/>
    </w:p>
    <w:p>
      <w:pPr>
        <w:pStyle w:val="33"/>
        <w:spacing w:line="590" w:lineRule="exact"/>
        <w:ind w:firstLine="640"/>
        <w:outlineLvl w:val="1"/>
        <w:rPr>
          <w:rFonts w:ascii="仿宋" w:hAnsi="仿宋" w:eastAsia="仿宋" w:cs="仿宋"/>
          <w:color w:val="000000"/>
          <w:sz w:val="32"/>
          <w:szCs w:val="32"/>
        </w:rPr>
      </w:pPr>
      <w:bookmarkStart w:id="108" w:name="_Toc2750"/>
      <w:bookmarkStart w:id="109" w:name="_Toc29238"/>
      <w:bookmarkStart w:id="110" w:name="_Toc9828"/>
      <w:bookmarkStart w:id="111" w:name="_Toc27725"/>
      <w:r>
        <w:rPr>
          <w:rFonts w:hint="eastAsia" w:ascii="仿宋" w:hAnsi="仿宋" w:eastAsia="仿宋" w:cs="仿宋"/>
          <w:color w:val="000000"/>
          <w:sz w:val="32"/>
          <w:szCs w:val="32"/>
        </w:rPr>
        <w:t>残联一般公共预算财政拨款项目支出823.46万元，其中：残疾儿童康复309.44万元；精神残疾人免费服药66.91万元；</w:t>
      </w:r>
      <w:r>
        <w:rPr>
          <w:rFonts w:hint="eastAsia" w:ascii="仿宋" w:hAnsi="仿宋" w:eastAsia="仿宋" w:cs="仿宋"/>
          <w:sz w:val="32"/>
          <w:szCs w:val="32"/>
        </w:rPr>
        <w:t>残疾人就业直补</w:t>
      </w:r>
      <w:r>
        <w:rPr>
          <w:rFonts w:hint="eastAsia" w:ascii="仿宋" w:hAnsi="仿宋" w:eastAsia="仿宋" w:cs="仿宋"/>
          <w:color w:val="000000"/>
          <w:sz w:val="32"/>
          <w:szCs w:val="32"/>
        </w:rPr>
        <w:t>9.03万元；农村残疾人实用技术培训27万元；残疾人辅助器具48.94万元；残疾人康复设备购置50万元；残疾人评残补贴1.67；残疾人康复中心建设155.48万元；残疾人康复中心附属设施75万元，残疾人股权量化80万元。</w:t>
      </w:r>
      <w:bookmarkEnd w:id="108"/>
      <w:bookmarkEnd w:id="109"/>
      <w:bookmarkEnd w:id="110"/>
      <w:bookmarkEnd w:id="111"/>
    </w:p>
    <w:p>
      <w:pPr>
        <w:pStyle w:val="4"/>
        <w:spacing w:before="0" w:after="0" w:line="590" w:lineRule="exact"/>
        <w:ind w:firstLine="642" w:firstLineChars="200"/>
      </w:pPr>
      <w:bookmarkStart w:id="112" w:name="_Toc31282"/>
      <w:r>
        <w:rPr>
          <w:rFonts w:hint="eastAsia"/>
        </w:rPr>
        <w:t>八、“三公”经费财政拨款支出决算情况</w:t>
      </w:r>
      <w:bookmarkEnd w:id="104"/>
      <w:bookmarkEnd w:id="105"/>
      <w:bookmarkEnd w:id="106"/>
      <w:bookmarkEnd w:id="107"/>
      <w:bookmarkEnd w:id="112"/>
      <w:r>
        <w:rPr>
          <w:rFonts w:hint="eastAsia"/>
        </w:rPr>
        <w:t>说明</w:t>
      </w:r>
    </w:p>
    <w:p>
      <w:pPr>
        <w:spacing w:line="590" w:lineRule="exact"/>
        <w:ind w:firstLine="642" w:firstLineChars="200"/>
        <w:outlineLvl w:val="2"/>
        <w:rPr>
          <w:rFonts w:ascii="仿宋" w:hAnsi="仿宋" w:eastAsia="仿宋" w:cs="仿宋"/>
          <w:b/>
          <w:color w:val="000000"/>
          <w:sz w:val="32"/>
          <w:szCs w:val="32"/>
        </w:rPr>
      </w:pPr>
      <w:r>
        <w:rPr>
          <w:rFonts w:hint="eastAsia" w:ascii="仿宋" w:hAnsi="仿宋" w:eastAsia="仿宋" w:cs="仿宋"/>
          <w:b/>
          <w:color w:val="000000"/>
          <w:sz w:val="32"/>
          <w:szCs w:val="32"/>
        </w:rPr>
        <w:t>（一）“三公”经费财政拨款支出决算总体情况说明</w:t>
      </w:r>
    </w:p>
    <w:p>
      <w:pPr>
        <w:spacing w:line="590" w:lineRule="exact"/>
        <w:ind w:firstLine="640" w:firstLineChars="200"/>
        <w:rPr>
          <w:rFonts w:eastAsia="仿宋"/>
          <w:color w:val="000000"/>
          <w:sz w:val="32"/>
          <w:szCs w:val="32"/>
        </w:rPr>
      </w:pPr>
      <w:r>
        <w:rPr>
          <w:rFonts w:hint="eastAsia" w:ascii="仿宋" w:hAnsi="仿宋" w:eastAsia="仿宋" w:cs="仿宋"/>
          <w:sz w:val="32"/>
          <w:szCs w:val="32"/>
        </w:rPr>
        <w:t>2022年“三公”经费财政拨款支出决算为1.58万元，完成预算46.33%，</w:t>
      </w:r>
      <w:r>
        <w:rPr>
          <w:rFonts w:ascii="仿宋" w:hAnsi="仿宋" w:eastAsia="仿宋" w:cs="仿宋"/>
          <w:sz w:val="32"/>
          <w:szCs w:val="32"/>
        </w:rPr>
        <w:t>比2021年减少0.28万元，</w:t>
      </w:r>
      <w:r>
        <w:rPr>
          <w:rFonts w:hint="eastAsia" w:ascii="仿宋" w:hAnsi="仿宋" w:eastAsia="仿宋" w:cs="仿宋"/>
          <w:sz w:val="32"/>
          <w:szCs w:val="32"/>
        </w:rPr>
        <w:t>下降</w:t>
      </w:r>
      <w:r>
        <w:rPr>
          <w:rFonts w:ascii="仿宋" w:hAnsi="仿宋" w:eastAsia="仿宋" w:cs="仿宋"/>
          <w:sz w:val="32"/>
          <w:szCs w:val="32"/>
        </w:rPr>
        <w:t>18%，</w:t>
      </w:r>
      <w:r>
        <w:rPr>
          <w:rFonts w:eastAsia="仿宋_GB2312"/>
          <w:sz w:val="32"/>
          <w:szCs w:val="32"/>
        </w:rPr>
        <w:t>主要原因是</w:t>
      </w:r>
      <w:r>
        <w:rPr>
          <w:rFonts w:hint="eastAsia" w:ascii="仿宋" w:hAnsi="仿宋" w:eastAsia="仿宋" w:cs="仿宋"/>
          <w:sz w:val="32"/>
          <w:szCs w:val="32"/>
        </w:rPr>
        <w:t>单位厉行节约</w:t>
      </w:r>
      <w:r>
        <w:rPr>
          <w:rFonts w:eastAsia="仿宋"/>
          <w:sz w:val="32"/>
          <w:szCs w:val="32"/>
        </w:rPr>
        <w:t>。</w:t>
      </w:r>
      <w:r>
        <w:rPr>
          <w:rFonts w:eastAsia="仿宋"/>
          <w:color w:val="000000"/>
          <w:sz w:val="32"/>
          <w:szCs w:val="32"/>
        </w:rPr>
        <w:t>决算数小于预算数的主要原因是</w:t>
      </w:r>
      <w:r>
        <w:rPr>
          <w:rFonts w:hint="eastAsia" w:eastAsia="仿宋"/>
          <w:color w:val="000000"/>
          <w:sz w:val="32"/>
          <w:szCs w:val="32"/>
        </w:rPr>
        <w:t>严控三公经费开支</w:t>
      </w:r>
      <w:r>
        <w:rPr>
          <w:rFonts w:eastAsia="仿宋"/>
          <w:color w:val="000000"/>
          <w:sz w:val="32"/>
          <w:szCs w:val="32"/>
        </w:rPr>
        <w:t>。</w:t>
      </w:r>
    </w:p>
    <w:p>
      <w:pPr>
        <w:spacing w:line="590" w:lineRule="exact"/>
        <w:ind w:firstLine="642" w:firstLineChars="200"/>
        <w:outlineLvl w:val="2"/>
        <w:rPr>
          <w:rFonts w:ascii="仿宋" w:hAnsi="仿宋" w:eastAsia="仿宋" w:cs="仿宋"/>
          <w:b/>
          <w:color w:val="333333"/>
          <w:sz w:val="32"/>
          <w:szCs w:val="32"/>
        </w:rPr>
      </w:pPr>
      <w:r>
        <w:rPr>
          <w:rFonts w:hint="eastAsia" w:ascii="仿宋" w:hAnsi="仿宋" w:eastAsia="仿宋" w:cs="仿宋"/>
          <w:b/>
          <w:color w:val="333333"/>
          <w:sz w:val="32"/>
          <w:szCs w:val="32"/>
        </w:rPr>
        <w:t>（二）“三公”经费财政拨款支出决算具体情况说明</w:t>
      </w:r>
    </w:p>
    <w:p>
      <w:pPr>
        <w:spacing w:line="590" w:lineRule="exact"/>
        <w:ind w:firstLine="640" w:firstLineChars="200"/>
        <w:rPr>
          <w:rFonts w:ascii="仿宋" w:hAnsi="仿宋" w:eastAsia="仿宋" w:cs="仿宋"/>
          <w:color w:val="333333"/>
          <w:sz w:val="32"/>
          <w:szCs w:val="32"/>
        </w:rPr>
      </w:pPr>
      <w:r>
        <w:rPr>
          <w:rFonts w:hint="eastAsia" w:ascii="仿宋" w:hAnsi="仿宋" w:eastAsia="仿宋" w:cs="仿宋"/>
          <w:color w:val="333333"/>
          <w:sz w:val="32"/>
          <w:szCs w:val="32"/>
        </w:rPr>
        <w:t>2022年“三公”经费财政拨款支出1.58万元，</w:t>
      </w:r>
      <w:r>
        <w:rPr>
          <w:rFonts w:ascii="仿宋" w:hAnsi="仿宋" w:eastAsia="仿宋" w:cs="仿宋"/>
          <w:color w:val="333333"/>
          <w:sz w:val="32"/>
          <w:szCs w:val="32"/>
        </w:rPr>
        <w:t>比2021年减少0.28万元，</w:t>
      </w:r>
      <w:r>
        <w:rPr>
          <w:rFonts w:hint="eastAsia" w:ascii="仿宋" w:hAnsi="仿宋" w:eastAsia="仿宋" w:cs="仿宋"/>
          <w:color w:val="333333"/>
          <w:sz w:val="32"/>
          <w:szCs w:val="32"/>
        </w:rPr>
        <w:t>下降</w:t>
      </w:r>
      <w:r>
        <w:rPr>
          <w:rFonts w:ascii="仿宋" w:hAnsi="仿宋" w:eastAsia="仿宋" w:cs="仿宋"/>
          <w:color w:val="333333"/>
          <w:sz w:val="32"/>
          <w:szCs w:val="32"/>
        </w:rPr>
        <w:t>18%，</w:t>
      </w:r>
      <w:r>
        <w:rPr>
          <w:rFonts w:hint="eastAsia" w:ascii="仿宋" w:hAnsi="仿宋" w:eastAsia="仿宋" w:cs="仿宋"/>
          <w:color w:val="333333"/>
          <w:sz w:val="32"/>
          <w:szCs w:val="32"/>
        </w:rPr>
        <w:t>主要原因是单位厉行节约。其中：</w:t>
      </w:r>
      <w:r>
        <w:rPr>
          <w:rFonts w:ascii="仿宋" w:hAnsi="仿宋" w:eastAsia="仿宋" w:cs="仿宋"/>
          <w:color w:val="333333"/>
          <w:sz w:val="32"/>
          <w:szCs w:val="32"/>
        </w:rPr>
        <w:t>因公出国（境）费支出决算</w:t>
      </w:r>
      <w:r>
        <w:rPr>
          <w:rFonts w:hint="eastAsia" w:ascii="仿宋" w:hAnsi="仿宋" w:eastAsia="仿宋" w:cs="仿宋"/>
          <w:color w:val="333333"/>
          <w:sz w:val="32"/>
          <w:szCs w:val="32"/>
        </w:rPr>
        <w:t>0</w:t>
      </w:r>
      <w:r>
        <w:rPr>
          <w:rFonts w:ascii="仿宋" w:hAnsi="仿宋" w:eastAsia="仿宋" w:cs="仿宋"/>
          <w:color w:val="333333"/>
          <w:sz w:val="32"/>
          <w:szCs w:val="32"/>
        </w:rPr>
        <w:t>万元，占</w:t>
      </w:r>
      <w:r>
        <w:rPr>
          <w:rFonts w:hint="eastAsia" w:ascii="仿宋" w:hAnsi="仿宋" w:eastAsia="仿宋" w:cs="仿宋"/>
          <w:color w:val="333333"/>
          <w:sz w:val="32"/>
          <w:szCs w:val="32"/>
        </w:rPr>
        <w:t>0</w:t>
      </w:r>
      <w:r>
        <w:rPr>
          <w:rFonts w:ascii="仿宋" w:hAnsi="仿宋" w:eastAsia="仿宋" w:cs="仿宋"/>
          <w:color w:val="333333"/>
          <w:sz w:val="32"/>
          <w:szCs w:val="32"/>
        </w:rPr>
        <w:t>%；公务用车购置及运行维护费支出决算</w:t>
      </w:r>
      <w:r>
        <w:rPr>
          <w:rFonts w:hint="eastAsia" w:ascii="仿宋" w:hAnsi="仿宋" w:eastAsia="仿宋" w:cs="仿宋"/>
          <w:color w:val="333333"/>
          <w:sz w:val="32"/>
          <w:szCs w:val="32"/>
        </w:rPr>
        <w:t>1.37</w:t>
      </w:r>
      <w:r>
        <w:rPr>
          <w:rFonts w:ascii="仿宋" w:hAnsi="仿宋" w:eastAsia="仿宋" w:cs="仿宋"/>
          <w:color w:val="333333"/>
          <w:sz w:val="32"/>
          <w:szCs w:val="32"/>
        </w:rPr>
        <w:t>万元，占</w:t>
      </w:r>
      <w:r>
        <w:rPr>
          <w:rFonts w:hint="eastAsia" w:ascii="仿宋" w:hAnsi="仿宋" w:eastAsia="仿宋" w:cs="仿宋"/>
          <w:color w:val="333333"/>
          <w:sz w:val="32"/>
          <w:szCs w:val="32"/>
        </w:rPr>
        <w:t>86.71</w:t>
      </w:r>
      <w:r>
        <w:rPr>
          <w:rFonts w:ascii="仿宋" w:hAnsi="仿宋" w:eastAsia="仿宋" w:cs="仿宋"/>
          <w:color w:val="333333"/>
          <w:sz w:val="32"/>
          <w:szCs w:val="32"/>
        </w:rPr>
        <w:t>%；公务接待费支出决算</w:t>
      </w:r>
      <w:r>
        <w:rPr>
          <w:rFonts w:hint="eastAsia" w:ascii="仿宋" w:hAnsi="仿宋" w:eastAsia="仿宋" w:cs="仿宋"/>
          <w:color w:val="333333"/>
          <w:sz w:val="32"/>
          <w:szCs w:val="32"/>
        </w:rPr>
        <w:t>0.21</w:t>
      </w:r>
      <w:r>
        <w:rPr>
          <w:rFonts w:ascii="仿宋" w:hAnsi="仿宋" w:eastAsia="仿宋" w:cs="仿宋"/>
          <w:color w:val="333333"/>
          <w:sz w:val="32"/>
          <w:szCs w:val="32"/>
        </w:rPr>
        <w:t>万元，占</w:t>
      </w:r>
      <w:r>
        <w:rPr>
          <w:rFonts w:hint="eastAsia" w:ascii="仿宋" w:hAnsi="仿宋" w:eastAsia="仿宋" w:cs="仿宋"/>
          <w:color w:val="333333"/>
          <w:sz w:val="32"/>
          <w:szCs w:val="32"/>
        </w:rPr>
        <w:t>13.29</w:t>
      </w:r>
      <w:r>
        <w:rPr>
          <w:rFonts w:ascii="仿宋" w:hAnsi="仿宋" w:eastAsia="仿宋" w:cs="仿宋"/>
          <w:color w:val="333333"/>
          <w:sz w:val="32"/>
          <w:szCs w:val="32"/>
        </w:rPr>
        <w:t>%。具体情况如下：</w:t>
      </w:r>
    </w:p>
    <w:p>
      <w:pPr>
        <w:spacing w:line="600" w:lineRule="exact"/>
        <w:rPr>
          <w:rFonts w:ascii="仿宋_GB2312" w:eastAsia="仿宋_GB2312"/>
          <w:color w:val="000000"/>
          <w:sz w:val="32"/>
          <w:szCs w:val="32"/>
        </w:rPr>
      </w:pPr>
      <w:r>
        <w:drawing>
          <wp:anchor distT="0" distB="0" distL="114300" distR="114300" simplePos="0" relativeHeight="251665408" behindDoc="0" locked="0" layoutInCell="1" allowOverlap="1">
            <wp:simplePos x="0" y="0"/>
            <wp:positionH relativeFrom="column">
              <wp:posOffset>296545</wp:posOffset>
            </wp:positionH>
            <wp:positionV relativeFrom="paragraph">
              <wp:posOffset>70485</wp:posOffset>
            </wp:positionV>
            <wp:extent cx="4572000" cy="2343785"/>
            <wp:effectExtent l="4445" t="4445" r="14605" b="13970"/>
            <wp:wrapNone/>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spacing w:line="600" w:lineRule="exact"/>
        <w:ind w:firstLine="640"/>
        <w:rPr>
          <w:rFonts w:ascii="仿宋_GB2312" w:eastAsia="仿宋_GB2312"/>
          <w:color w:val="000000"/>
          <w:sz w:val="32"/>
          <w:szCs w:val="32"/>
        </w:rPr>
      </w:pPr>
    </w:p>
    <w:p>
      <w:pPr>
        <w:spacing w:line="600" w:lineRule="exact"/>
        <w:ind w:firstLine="640"/>
        <w:rPr>
          <w:rFonts w:ascii="仿宋_GB2312" w:eastAsia="仿宋_GB2312"/>
          <w:color w:val="000000"/>
          <w:sz w:val="32"/>
          <w:szCs w:val="32"/>
        </w:rPr>
      </w:pPr>
    </w:p>
    <w:p>
      <w:pPr>
        <w:spacing w:line="600" w:lineRule="exact"/>
        <w:ind w:firstLine="640"/>
        <w:rPr>
          <w:rFonts w:ascii="仿宋_GB2312" w:eastAsia="仿宋_GB2312"/>
          <w:color w:val="000000"/>
          <w:sz w:val="32"/>
          <w:szCs w:val="32"/>
        </w:rPr>
      </w:pPr>
    </w:p>
    <w:p>
      <w:pPr>
        <w:spacing w:line="600" w:lineRule="exact"/>
        <w:rPr>
          <w:rFonts w:ascii="仿宋_GB2312" w:eastAsia="仿宋_GB2312"/>
          <w:b/>
          <w:color w:val="000000"/>
          <w:sz w:val="32"/>
          <w:szCs w:val="32"/>
        </w:rPr>
      </w:pPr>
    </w:p>
    <w:p>
      <w:pPr>
        <w:numPr>
          <w:ilvl w:val="0"/>
          <w:numId w:val="2"/>
        </w:numPr>
        <w:spacing w:line="600" w:lineRule="exact"/>
        <w:ind w:firstLine="640" w:firstLineChars="200"/>
        <w:outlineLvl w:val="3"/>
        <w:rPr>
          <w:rFonts w:eastAsia="仿宋"/>
          <w:color w:val="000000"/>
          <w:sz w:val="32"/>
          <w:szCs w:val="32"/>
        </w:rPr>
      </w:pPr>
      <w:r>
        <w:rPr>
          <w:rFonts w:hint="eastAsia" w:ascii="仿宋" w:hAnsi="仿宋" w:eastAsia="仿宋" w:cs="仿宋"/>
          <w:bCs/>
          <w:color w:val="000000"/>
          <w:sz w:val="32"/>
          <w:szCs w:val="32"/>
        </w:rPr>
        <w:t>公务用车购置及运行维护费</w:t>
      </w:r>
    </w:p>
    <w:p>
      <w:pPr>
        <w:spacing w:line="600" w:lineRule="exact"/>
        <w:ind w:firstLine="640"/>
        <w:rPr>
          <w:rFonts w:eastAsia="仿宋"/>
          <w:color w:val="000000"/>
          <w:sz w:val="32"/>
          <w:szCs w:val="32"/>
        </w:rPr>
      </w:pPr>
    </w:p>
    <w:p>
      <w:pPr>
        <w:spacing w:line="590" w:lineRule="exact"/>
        <w:ind w:firstLine="640" w:firstLineChars="200"/>
      </w:pPr>
      <w:r>
        <w:rPr>
          <w:rFonts w:eastAsia="仿宋"/>
          <w:color w:val="000000"/>
          <w:sz w:val="32"/>
          <w:szCs w:val="32"/>
        </w:rPr>
        <w:t>（图7：“三公”经费财政拨款支出结构）（饼状图）</w:t>
      </w:r>
    </w:p>
    <w:p>
      <w:pPr>
        <w:spacing w:line="590" w:lineRule="exact"/>
        <w:ind w:firstLine="642" w:firstLineChars="200"/>
        <w:rPr>
          <w:rFonts w:eastAsia="仿宋_GB2312"/>
          <w:sz w:val="32"/>
          <w:szCs w:val="32"/>
        </w:rPr>
      </w:pPr>
      <w:r>
        <w:rPr>
          <w:rFonts w:hint="eastAsia" w:eastAsia="仿宋_GB2312"/>
          <w:b/>
          <w:sz w:val="32"/>
          <w:szCs w:val="32"/>
        </w:rPr>
        <w:t>1.</w:t>
      </w:r>
      <w:r>
        <w:rPr>
          <w:rFonts w:eastAsia="仿宋_GB2312"/>
          <w:b/>
          <w:sz w:val="32"/>
          <w:szCs w:val="32"/>
        </w:rPr>
        <w:t>因公出国（境）经费支出</w:t>
      </w:r>
      <w:r>
        <w:rPr>
          <w:rFonts w:hint="eastAsia" w:eastAsia="仿宋_GB2312"/>
          <w:sz w:val="32"/>
          <w:szCs w:val="32"/>
        </w:rPr>
        <w:t>0</w:t>
      </w:r>
      <w:r>
        <w:rPr>
          <w:rFonts w:eastAsia="仿宋_GB2312"/>
          <w:sz w:val="32"/>
          <w:szCs w:val="32"/>
        </w:rPr>
        <w:t>万元，</w:t>
      </w:r>
      <w:r>
        <w:rPr>
          <w:rStyle w:val="16"/>
          <w:rFonts w:eastAsia="仿宋"/>
          <w:b w:val="0"/>
          <w:sz w:val="32"/>
          <w:szCs w:val="32"/>
        </w:rPr>
        <w:t>完成预算</w:t>
      </w:r>
      <w:r>
        <w:rPr>
          <w:rStyle w:val="16"/>
          <w:rFonts w:hint="eastAsia" w:eastAsia="仿宋"/>
          <w:b w:val="0"/>
          <w:sz w:val="32"/>
          <w:szCs w:val="32"/>
        </w:rPr>
        <w:t>0</w:t>
      </w:r>
      <w:r>
        <w:rPr>
          <w:rStyle w:val="16"/>
          <w:rFonts w:eastAsia="仿宋"/>
          <w:b w:val="0"/>
          <w:sz w:val="32"/>
          <w:szCs w:val="32"/>
        </w:rPr>
        <w:t>%。</w:t>
      </w:r>
      <w:r>
        <w:rPr>
          <w:rFonts w:eastAsia="仿宋_GB2312"/>
          <w:sz w:val="32"/>
          <w:szCs w:val="32"/>
        </w:rPr>
        <w:t>全年安排因公出国（境）团组</w:t>
      </w:r>
      <w:r>
        <w:rPr>
          <w:rFonts w:hint="eastAsia" w:eastAsia="仿宋_GB2312"/>
          <w:sz w:val="32"/>
          <w:szCs w:val="32"/>
        </w:rPr>
        <w:t>0</w:t>
      </w:r>
      <w:r>
        <w:rPr>
          <w:rFonts w:eastAsia="仿宋_GB2312"/>
          <w:sz w:val="32"/>
          <w:szCs w:val="32"/>
        </w:rPr>
        <w:t>次，出国（境）</w:t>
      </w:r>
      <w:r>
        <w:rPr>
          <w:rFonts w:hint="eastAsia" w:eastAsia="仿宋_GB2312"/>
          <w:sz w:val="32"/>
          <w:szCs w:val="32"/>
        </w:rPr>
        <w:t>0</w:t>
      </w:r>
      <w:r>
        <w:rPr>
          <w:rFonts w:eastAsia="仿宋_GB2312"/>
          <w:sz w:val="32"/>
          <w:szCs w:val="32"/>
        </w:rPr>
        <w:t>人。因公出国（境）支出决算</w:t>
      </w:r>
      <w:r>
        <w:rPr>
          <w:rFonts w:hint="eastAsia" w:eastAsia="仿宋_GB2312"/>
          <w:sz w:val="32"/>
          <w:szCs w:val="32"/>
        </w:rPr>
        <w:t>同2021年持平。</w:t>
      </w:r>
    </w:p>
    <w:p>
      <w:pPr>
        <w:spacing w:line="590" w:lineRule="exact"/>
        <w:ind w:firstLine="642" w:firstLineChars="200"/>
        <w:rPr>
          <w:rFonts w:ascii="仿宋_GB2312" w:eastAsia="仿宋_GB2312"/>
          <w:color w:val="000000"/>
          <w:sz w:val="32"/>
          <w:szCs w:val="32"/>
        </w:rPr>
      </w:pPr>
      <w:r>
        <w:rPr>
          <w:rFonts w:hint="eastAsia" w:eastAsia="仿宋_GB2312"/>
          <w:b/>
          <w:sz w:val="32"/>
          <w:szCs w:val="32"/>
        </w:rPr>
        <w:t>2.公务用车购置及运行维护费支出</w:t>
      </w:r>
      <w:r>
        <w:rPr>
          <w:rFonts w:hint="eastAsia" w:eastAsia="仿宋_GB2312"/>
          <w:sz w:val="32"/>
          <w:szCs w:val="32"/>
        </w:rPr>
        <w:t>1.37万元,</w:t>
      </w:r>
      <w:r>
        <w:rPr>
          <w:rStyle w:val="16"/>
          <w:rFonts w:hint="eastAsia" w:eastAsia="仿宋"/>
          <w:b w:val="0"/>
          <w:sz w:val="32"/>
          <w:szCs w:val="32"/>
        </w:rPr>
        <w:t>完成预算54.8%。公务用车购置及运行维护费支出决算比2021年增加0.01万元，增加0.7%。主要原因是参加省第十届残运会和省第五届特奥会用车。</w:t>
      </w:r>
    </w:p>
    <w:p>
      <w:pPr>
        <w:spacing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其中：</w:t>
      </w:r>
      <w:r>
        <w:rPr>
          <w:rFonts w:hint="eastAsia" w:ascii="仿宋" w:hAnsi="仿宋" w:eastAsia="仿宋" w:cs="仿宋"/>
          <w:b/>
          <w:bCs/>
          <w:color w:val="000000"/>
          <w:sz w:val="32"/>
          <w:szCs w:val="32"/>
        </w:rPr>
        <w:t>公务用车购置支出</w:t>
      </w:r>
      <w:r>
        <w:rPr>
          <w:rFonts w:hint="eastAsia" w:ascii="仿宋" w:hAnsi="仿宋" w:eastAsia="仿宋" w:cs="仿宋"/>
          <w:color w:val="000000"/>
          <w:sz w:val="32"/>
          <w:szCs w:val="32"/>
        </w:rPr>
        <w:t>0万元，同2021年持平。</w:t>
      </w:r>
      <w:r>
        <w:rPr>
          <w:rFonts w:ascii="仿宋" w:hAnsi="仿宋" w:eastAsia="仿宋" w:cs="仿宋"/>
          <w:color w:val="000000"/>
          <w:sz w:val="32"/>
          <w:szCs w:val="32"/>
        </w:rPr>
        <w:t>全年按规定更新购置公务用车</w:t>
      </w:r>
      <w:r>
        <w:rPr>
          <w:rFonts w:hint="eastAsia" w:ascii="仿宋" w:hAnsi="仿宋" w:eastAsia="仿宋" w:cs="仿宋"/>
          <w:color w:val="000000"/>
          <w:sz w:val="32"/>
          <w:szCs w:val="32"/>
        </w:rPr>
        <w:t>0</w:t>
      </w:r>
      <w:r>
        <w:rPr>
          <w:rFonts w:ascii="仿宋" w:hAnsi="仿宋" w:eastAsia="仿宋" w:cs="仿宋"/>
          <w:color w:val="000000"/>
          <w:sz w:val="32"/>
          <w:szCs w:val="32"/>
        </w:rPr>
        <w:t>辆，其中：轿车</w:t>
      </w:r>
      <w:r>
        <w:rPr>
          <w:rFonts w:hint="eastAsia" w:ascii="仿宋" w:hAnsi="仿宋" w:eastAsia="仿宋" w:cs="仿宋"/>
          <w:color w:val="000000"/>
          <w:sz w:val="32"/>
          <w:szCs w:val="32"/>
        </w:rPr>
        <w:t>0</w:t>
      </w:r>
      <w:r>
        <w:rPr>
          <w:rFonts w:ascii="仿宋" w:hAnsi="仿宋" w:eastAsia="仿宋" w:cs="仿宋"/>
          <w:color w:val="000000"/>
          <w:sz w:val="32"/>
          <w:szCs w:val="32"/>
        </w:rPr>
        <w:t>辆、金额</w:t>
      </w:r>
      <w:r>
        <w:rPr>
          <w:rFonts w:hint="eastAsia" w:ascii="仿宋" w:hAnsi="仿宋" w:eastAsia="仿宋" w:cs="仿宋"/>
          <w:color w:val="000000"/>
          <w:sz w:val="32"/>
          <w:szCs w:val="32"/>
        </w:rPr>
        <w:t>0</w:t>
      </w:r>
      <w:r>
        <w:rPr>
          <w:rFonts w:ascii="仿宋" w:hAnsi="仿宋" w:eastAsia="仿宋" w:cs="仿宋"/>
          <w:color w:val="000000"/>
          <w:sz w:val="32"/>
          <w:szCs w:val="32"/>
        </w:rPr>
        <w:t>万元，越野车</w:t>
      </w:r>
      <w:r>
        <w:rPr>
          <w:rFonts w:hint="eastAsia" w:ascii="仿宋" w:hAnsi="仿宋" w:eastAsia="仿宋" w:cs="仿宋"/>
          <w:color w:val="000000"/>
          <w:sz w:val="32"/>
          <w:szCs w:val="32"/>
        </w:rPr>
        <w:t>0</w:t>
      </w:r>
      <w:r>
        <w:rPr>
          <w:rFonts w:ascii="仿宋" w:hAnsi="仿宋" w:eastAsia="仿宋" w:cs="仿宋"/>
          <w:color w:val="000000"/>
          <w:sz w:val="32"/>
          <w:szCs w:val="32"/>
        </w:rPr>
        <w:t>辆、金额</w:t>
      </w:r>
      <w:r>
        <w:rPr>
          <w:rFonts w:hint="eastAsia" w:ascii="仿宋" w:hAnsi="仿宋" w:eastAsia="仿宋" w:cs="仿宋"/>
          <w:color w:val="000000"/>
          <w:sz w:val="32"/>
          <w:szCs w:val="32"/>
        </w:rPr>
        <w:t>0</w:t>
      </w:r>
      <w:r>
        <w:rPr>
          <w:rFonts w:ascii="仿宋" w:hAnsi="仿宋" w:eastAsia="仿宋" w:cs="仿宋"/>
          <w:color w:val="000000"/>
          <w:sz w:val="32"/>
          <w:szCs w:val="32"/>
        </w:rPr>
        <w:t>万元，载客汽车</w:t>
      </w:r>
      <w:r>
        <w:rPr>
          <w:rFonts w:hint="eastAsia" w:ascii="仿宋" w:hAnsi="仿宋" w:eastAsia="仿宋" w:cs="仿宋"/>
          <w:color w:val="000000"/>
          <w:sz w:val="32"/>
          <w:szCs w:val="32"/>
        </w:rPr>
        <w:t>0</w:t>
      </w:r>
      <w:r>
        <w:rPr>
          <w:rFonts w:ascii="仿宋" w:hAnsi="仿宋" w:eastAsia="仿宋" w:cs="仿宋"/>
          <w:color w:val="000000"/>
          <w:sz w:val="32"/>
          <w:szCs w:val="32"/>
        </w:rPr>
        <w:t>辆、金额</w:t>
      </w:r>
      <w:r>
        <w:rPr>
          <w:rFonts w:hint="eastAsia" w:ascii="仿宋" w:hAnsi="仿宋" w:eastAsia="仿宋" w:cs="仿宋"/>
          <w:color w:val="000000"/>
          <w:sz w:val="32"/>
          <w:szCs w:val="32"/>
        </w:rPr>
        <w:t>0</w:t>
      </w:r>
      <w:r>
        <w:rPr>
          <w:rFonts w:ascii="仿宋" w:hAnsi="仿宋" w:eastAsia="仿宋" w:cs="仿宋"/>
          <w:color w:val="000000"/>
          <w:sz w:val="32"/>
          <w:szCs w:val="32"/>
        </w:rPr>
        <w:t>万元。截至2022年12月底，单位共有公务用车</w:t>
      </w:r>
      <w:r>
        <w:rPr>
          <w:rFonts w:hint="eastAsia" w:ascii="仿宋" w:hAnsi="仿宋" w:eastAsia="仿宋" w:cs="仿宋"/>
          <w:color w:val="000000"/>
          <w:sz w:val="32"/>
          <w:szCs w:val="32"/>
        </w:rPr>
        <w:t>1</w:t>
      </w:r>
      <w:r>
        <w:rPr>
          <w:rFonts w:ascii="仿宋" w:hAnsi="仿宋" w:eastAsia="仿宋" w:cs="仿宋"/>
          <w:color w:val="000000"/>
          <w:sz w:val="32"/>
          <w:szCs w:val="32"/>
        </w:rPr>
        <w:t>辆，其中：轿车</w:t>
      </w:r>
      <w:r>
        <w:rPr>
          <w:rFonts w:hint="eastAsia" w:ascii="仿宋" w:hAnsi="仿宋" w:eastAsia="仿宋" w:cs="仿宋"/>
          <w:color w:val="000000"/>
          <w:sz w:val="32"/>
          <w:szCs w:val="32"/>
        </w:rPr>
        <w:t>0</w:t>
      </w:r>
      <w:r>
        <w:rPr>
          <w:rFonts w:ascii="仿宋" w:hAnsi="仿宋" w:eastAsia="仿宋" w:cs="仿宋"/>
          <w:color w:val="000000"/>
          <w:sz w:val="32"/>
          <w:szCs w:val="32"/>
        </w:rPr>
        <w:t>辆、越野车</w:t>
      </w:r>
      <w:r>
        <w:rPr>
          <w:rFonts w:hint="eastAsia" w:ascii="仿宋" w:hAnsi="仿宋" w:eastAsia="仿宋" w:cs="仿宋"/>
          <w:color w:val="000000"/>
          <w:sz w:val="32"/>
          <w:szCs w:val="32"/>
        </w:rPr>
        <w:t>1</w:t>
      </w:r>
      <w:r>
        <w:rPr>
          <w:rFonts w:ascii="仿宋" w:hAnsi="仿宋" w:eastAsia="仿宋" w:cs="仿宋"/>
          <w:color w:val="000000"/>
          <w:sz w:val="32"/>
          <w:szCs w:val="32"/>
        </w:rPr>
        <w:t>辆、载客汽车</w:t>
      </w:r>
      <w:r>
        <w:rPr>
          <w:rFonts w:hint="eastAsia" w:ascii="仿宋" w:hAnsi="仿宋" w:eastAsia="仿宋" w:cs="仿宋"/>
          <w:color w:val="000000"/>
          <w:sz w:val="32"/>
          <w:szCs w:val="32"/>
        </w:rPr>
        <w:t>0</w:t>
      </w:r>
      <w:r>
        <w:rPr>
          <w:rFonts w:ascii="仿宋" w:hAnsi="仿宋" w:eastAsia="仿宋" w:cs="仿宋"/>
          <w:color w:val="000000"/>
          <w:sz w:val="32"/>
          <w:szCs w:val="32"/>
        </w:rPr>
        <w:t>辆。</w:t>
      </w:r>
    </w:p>
    <w:p>
      <w:pPr>
        <w:spacing w:line="590" w:lineRule="exact"/>
        <w:ind w:firstLine="642" w:firstLineChars="200"/>
        <w:rPr>
          <w:rFonts w:ascii="仿宋" w:hAnsi="仿宋" w:eastAsia="仿宋" w:cs="仿宋"/>
          <w:color w:val="000000"/>
          <w:sz w:val="32"/>
          <w:szCs w:val="32"/>
        </w:rPr>
      </w:pPr>
      <w:r>
        <w:rPr>
          <w:rFonts w:hint="eastAsia" w:eastAsia="仿宋_GB2312"/>
          <w:b/>
          <w:sz w:val="32"/>
          <w:szCs w:val="32"/>
        </w:rPr>
        <w:t>公务用车运行维护费支出</w:t>
      </w:r>
      <w:r>
        <w:rPr>
          <w:rFonts w:hint="eastAsia" w:ascii="仿宋" w:hAnsi="仿宋" w:eastAsia="仿宋" w:cs="仿宋"/>
          <w:color w:val="000000"/>
          <w:sz w:val="32"/>
          <w:szCs w:val="32"/>
        </w:rPr>
        <w:t>1.37万元。</w:t>
      </w:r>
      <w:r>
        <w:rPr>
          <w:rStyle w:val="16"/>
          <w:rFonts w:hint="eastAsia" w:eastAsia="仿宋"/>
          <w:b w:val="0"/>
          <w:sz w:val="32"/>
          <w:szCs w:val="32"/>
        </w:rPr>
        <w:t>比2021年增加0.01万元，增加0.7%。主要原因是参加省第十届残运会和省第五届特奥会用车。</w:t>
      </w:r>
      <w:r>
        <w:rPr>
          <w:rFonts w:hint="eastAsia" w:ascii="仿宋" w:hAnsi="仿宋" w:eastAsia="仿宋" w:cs="仿宋"/>
          <w:color w:val="000000"/>
          <w:sz w:val="32"/>
          <w:szCs w:val="32"/>
        </w:rPr>
        <w:t>主要用于残疾人流动服务车下乡等所需的公务用车燃料费、维修费、过路过桥费、保险费等支出。</w:t>
      </w:r>
    </w:p>
    <w:p>
      <w:pPr>
        <w:pStyle w:val="4"/>
        <w:spacing w:before="0" w:after="0" w:line="590" w:lineRule="exact"/>
        <w:ind w:firstLine="642" w:firstLineChars="200"/>
        <w:rPr>
          <w:rFonts w:ascii="仿宋" w:hAnsi="仿宋" w:eastAsia="仿宋" w:cs="仿宋"/>
          <w:bCs w:val="0"/>
          <w:color w:val="000000"/>
        </w:rPr>
      </w:pPr>
      <w:bookmarkStart w:id="113" w:name="_Toc1489"/>
      <w:bookmarkStart w:id="114" w:name="_Toc22983_WPSOffice_Level2"/>
      <w:bookmarkStart w:id="115" w:name="_Toc8504"/>
      <w:bookmarkStart w:id="116" w:name="_Toc1685"/>
      <w:bookmarkStart w:id="117" w:name="_Toc48743090"/>
      <w:bookmarkStart w:id="118" w:name="_Toc48743019"/>
      <w:bookmarkStart w:id="119" w:name="_Toc48743200"/>
      <w:r>
        <w:rPr>
          <w:rFonts w:hint="eastAsia" w:ascii="Times New Roman" w:hAnsi="Times New Roman" w:eastAsia="仿宋_GB2312"/>
          <w:bCs w:val="0"/>
        </w:rPr>
        <w:t>3.公务接待费支出</w:t>
      </w:r>
      <w:r>
        <w:rPr>
          <w:rFonts w:hint="eastAsia" w:ascii="仿宋" w:hAnsi="仿宋" w:eastAsia="仿宋" w:cs="仿宋"/>
          <w:bCs w:val="0"/>
          <w:color w:val="000000"/>
        </w:rPr>
        <w:t>0.21万元，完成预算23.08%。公务接待费支出决算比2021年减少0.29万元，下降58%，主要原因是单位厉行节约。其中：</w:t>
      </w:r>
    </w:p>
    <w:p>
      <w:pPr>
        <w:spacing w:line="590" w:lineRule="exact"/>
        <w:ind w:firstLine="642" w:firstLineChars="200"/>
        <w:rPr>
          <w:rFonts w:eastAsia="仿宋_GB2312"/>
          <w:color w:val="000000"/>
          <w:sz w:val="32"/>
          <w:szCs w:val="32"/>
        </w:rPr>
      </w:pPr>
      <w:r>
        <w:rPr>
          <w:rFonts w:eastAsia="仿宋"/>
          <w:b/>
          <w:color w:val="000000"/>
          <w:sz w:val="32"/>
          <w:szCs w:val="32"/>
        </w:rPr>
        <w:t>国内公务接待支出</w:t>
      </w:r>
      <w:r>
        <w:rPr>
          <w:rFonts w:hint="eastAsia" w:eastAsia="仿宋"/>
          <w:color w:val="000000"/>
          <w:sz w:val="32"/>
          <w:szCs w:val="32"/>
        </w:rPr>
        <w:t>0.21</w:t>
      </w:r>
      <w:r>
        <w:rPr>
          <w:rFonts w:eastAsia="仿宋_GB2312"/>
          <w:color w:val="000000"/>
          <w:sz w:val="32"/>
          <w:szCs w:val="32"/>
        </w:rPr>
        <w:t>万元，</w:t>
      </w:r>
      <w:r>
        <w:rPr>
          <w:rFonts w:eastAsia="仿宋_GB2312"/>
          <w:sz w:val="32"/>
          <w:szCs w:val="32"/>
        </w:rPr>
        <w:t>比2021年减少0.29万元，下降58%，主要原因是单位厉行节约。</w:t>
      </w:r>
      <w:r>
        <w:rPr>
          <w:rFonts w:hint="eastAsia" w:ascii="仿宋" w:hAnsi="仿宋" w:eastAsia="仿宋" w:cs="仿宋"/>
          <w:color w:val="000000"/>
          <w:sz w:val="32"/>
          <w:szCs w:val="32"/>
        </w:rPr>
        <w:t>主要用于执行公务、开展业务活动开支的交通费、住宿费、用餐费等。</w:t>
      </w:r>
      <w:r>
        <w:rPr>
          <w:rFonts w:eastAsia="仿宋_GB2312"/>
          <w:color w:val="000000"/>
          <w:sz w:val="32"/>
          <w:szCs w:val="32"/>
        </w:rPr>
        <w:t>国内公务接待</w:t>
      </w:r>
      <w:r>
        <w:rPr>
          <w:rFonts w:hint="eastAsia" w:eastAsia="仿宋_GB2312"/>
          <w:color w:val="000000"/>
          <w:sz w:val="32"/>
          <w:szCs w:val="32"/>
        </w:rPr>
        <w:t>3</w:t>
      </w:r>
      <w:r>
        <w:rPr>
          <w:rFonts w:eastAsia="仿宋_GB2312"/>
          <w:color w:val="000000"/>
          <w:sz w:val="32"/>
          <w:szCs w:val="32"/>
        </w:rPr>
        <w:t>批次，</w:t>
      </w:r>
      <w:r>
        <w:rPr>
          <w:rFonts w:hint="eastAsia" w:eastAsia="仿宋_GB2312"/>
          <w:color w:val="000000"/>
          <w:sz w:val="32"/>
          <w:szCs w:val="32"/>
        </w:rPr>
        <w:t>20</w:t>
      </w:r>
      <w:r>
        <w:rPr>
          <w:rFonts w:eastAsia="仿宋_GB2312"/>
          <w:color w:val="000000"/>
          <w:sz w:val="32"/>
          <w:szCs w:val="32"/>
        </w:rPr>
        <w:t>人次（不包括陪同人员），共计支出</w:t>
      </w:r>
      <w:r>
        <w:rPr>
          <w:rFonts w:hint="eastAsia" w:eastAsia="仿宋_GB2312"/>
          <w:color w:val="000000"/>
          <w:sz w:val="32"/>
          <w:szCs w:val="32"/>
        </w:rPr>
        <w:t>0.21</w:t>
      </w:r>
      <w:r>
        <w:rPr>
          <w:rFonts w:eastAsia="仿宋_GB2312"/>
          <w:color w:val="000000"/>
          <w:sz w:val="32"/>
          <w:szCs w:val="32"/>
        </w:rPr>
        <w:t>万元，具体内容包括：</w:t>
      </w:r>
      <w:r>
        <w:rPr>
          <w:rFonts w:hint="eastAsia" w:eastAsia="仿宋_GB2312"/>
          <w:color w:val="000000"/>
          <w:sz w:val="32"/>
          <w:szCs w:val="32"/>
        </w:rPr>
        <w:t>省残联莅临岳池调研残疾人工作0.09万元、重庆市合川区残联到岳池调研残疾儿童康复0.07万元、武胜县残联到岳池交流残疾人托养工作0.05万元。</w:t>
      </w:r>
    </w:p>
    <w:p>
      <w:pPr>
        <w:spacing w:line="590" w:lineRule="exact"/>
        <w:ind w:firstLine="640" w:firstLineChars="200"/>
        <w:rPr>
          <w:rFonts w:ascii="仿宋" w:hAnsi="仿宋" w:eastAsia="仿宋" w:cs="仿宋"/>
          <w:color w:val="000000"/>
        </w:rPr>
      </w:pPr>
      <w:r>
        <w:rPr>
          <w:rFonts w:hint="eastAsia" w:eastAsia="仿宋_GB2312"/>
          <w:color w:val="000000"/>
          <w:sz w:val="32"/>
          <w:szCs w:val="32"/>
        </w:rPr>
        <w:t>外事接待支出0万元，同2021年持平。外事接待0批次，0人次（不包括陪同人员），共计支出0万元</w:t>
      </w:r>
      <w:r>
        <w:rPr>
          <w:rFonts w:eastAsia="仿宋_GB2312"/>
          <w:color w:val="000000" w:themeColor="text1"/>
        </w:rPr>
        <w:t>。</w:t>
      </w:r>
    </w:p>
    <w:p>
      <w:pPr>
        <w:pStyle w:val="4"/>
        <w:spacing w:before="0" w:after="0" w:line="590" w:lineRule="exact"/>
        <w:ind w:firstLine="642" w:firstLineChars="200"/>
      </w:pPr>
      <w:r>
        <w:rPr>
          <w:rFonts w:hint="eastAsia"/>
        </w:rPr>
        <w:t>九、政府性基金预算支出决算情况说明</w:t>
      </w:r>
      <w:bookmarkEnd w:id="113"/>
      <w:bookmarkEnd w:id="114"/>
      <w:bookmarkEnd w:id="115"/>
      <w:bookmarkEnd w:id="116"/>
      <w:bookmarkEnd w:id="117"/>
      <w:bookmarkEnd w:id="118"/>
      <w:bookmarkEnd w:id="119"/>
    </w:p>
    <w:p>
      <w:pPr>
        <w:spacing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2022年政府性基金预算拨款支出110.64万元。主要用于残疾人体育比赛，残疾人体育康复进校园，残疾人无障碍改造。</w:t>
      </w:r>
    </w:p>
    <w:p>
      <w:pPr>
        <w:pStyle w:val="4"/>
        <w:spacing w:before="0" w:after="0" w:line="590" w:lineRule="exact"/>
        <w:ind w:firstLine="642" w:firstLineChars="200"/>
      </w:pPr>
      <w:bookmarkStart w:id="120" w:name="_Toc18785"/>
      <w:bookmarkStart w:id="121" w:name="_Toc17132"/>
      <w:bookmarkStart w:id="122" w:name="_Toc15377219"/>
      <w:bookmarkStart w:id="123" w:name="_Toc9418_WPSOffice_Level2"/>
      <w:bookmarkStart w:id="124" w:name="_Toc48743020"/>
      <w:bookmarkStart w:id="125" w:name="_Toc48743091"/>
      <w:bookmarkStart w:id="126" w:name="_Toc12829"/>
      <w:bookmarkStart w:id="127" w:name="_Toc48743201"/>
      <w:r>
        <w:rPr>
          <w:rFonts w:hint="eastAsia"/>
        </w:rPr>
        <w:t>十、国有资本经营预算支出决算情况说明</w:t>
      </w:r>
      <w:bookmarkEnd w:id="120"/>
      <w:bookmarkEnd w:id="121"/>
      <w:bookmarkEnd w:id="122"/>
      <w:bookmarkEnd w:id="123"/>
      <w:bookmarkEnd w:id="124"/>
      <w:bookmarkEnd w:id="125"/>
      <w:bookmarkEnd w:id="126"/>
      <w:bookmarkEnd w:id="127"/>
    </w:p>
    <w:p>
      <w:pPr>
        <w:spacing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2022年国有资本经营预算拨款支出0万元</w:t>
      </w:r>
    </w:p>
    <w:p>
      <w:pPr>
        <w:pStyle w:val="4"/>
        <w:spacing w:before="0" w:after="0" w:line="590" w:lineRule="exact"/>
        <w:ind w:firstLine="642" w:firstLineChars="200"/>
      </w:pPr>
      <w:bookmarkStart w:id="128" w:name="_Toc19996_WPSOffice_Level2"/>
      <w:bookmarkStart w:id="129" w:name="_Toc48743092"/>
      <w:bookmarkStart w:id="130" w:name="_Toc19365"/>
      <w:bookmarkStart w:id="131" w:name="_Toc48743021"/>
      <w:bookmarkStart w:id="132" w:name="_Toc48743202"/>
      <w:r>
        <w:rPr>
          <w:rFonts w:hint="eastAsia"/>
        </w:rPr>
        <w:t>十一、其他重要事项的情况说明</w:t>
      </w:r>
      <w:bookmarkEnd w:id="128"/>
      <w:bookmarkEnd w:id="129"/>
      <w:bookmarkEnd w:id="130"/>
      <w:bookmarkEnd w:id="131"/>
      <w:bookmarkEnd w:id="132"/>
    </w:p>
    <w:p>
      <w:pPr>
        <w:spacing w:line="590" w:lineRule="exact"/>
        <w:ind w:firstLine="642" w:firstLineChars="200"/>
        <w:outlineLvl w:val="2"/>
        <w:rPr>
          <w:rFonts w:ascii="仿宋" w:hAnsi="仿宋" w:eastAsia="仿宋" w:cs="仿宋"/>
          <w:b/>
          <w:color w:val="000000"/>
          <w:sz w:val="32"/>
          <w:szCs w:val="32"/>
        </w:rPr>
      </w:pPr>
      <w:r>
        <w:rPr>
          <w:rFonts w:hint="eastAsia" w:ascii="仿宋" w:hAnsi="仿宋" w:eastAsia="仿宋" w:cs="仿宋"/>
          <w:b/>
          <w:color w:val="000000"/>
          <w:sz w:val="32"/>
          <w:szCs w:val="32"/>
        </w:rPr>
        <w:t>（一）机关运行经费支出情况</w:t>
      </w:r>
    </w:p>
    <w:p>
      <w:pPr>
        <w:spacing w:line="59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2022年度，残联机关运行经费支出22.96万元，比2021年增加0.14万元，</w:t>
      </w:r>
      <w:r>
        <w:rPr>
          <w:rStyle w:val="16"/>
          <w:rFonts w:hint="eastAsia" w:ascii="仿宋" w:hAnsi="仿宋" w:eastAsia="仿宋"/>
          <w:b w:val="0"/>
          <w:color w:val="000000"/>
          <w:sz w:val="32"/>
          <w:szCs w:val="32"/>
        </w:rPr>
        <w:t>增长0.61</w:t>
      </w:r>
      <w:r>
        <w:rPr>
          <w:rStyle w:val="16"/>
          <w:rFonts w:ascii="仿宋" w:hAnsi="仿宋" w:eastAsia="仿宋"/>
          <w:b w:val="0"/>
          <w:color w:val="000000"/>
          <w:sz w:val="32"/>
          <w:szCs w:val="32"/>
        </w:rPr>
        <w:t>%</w:t>
      </w:r>
      <w:r>
        <w:rPr>
          <w:rStyle w:val="16"/>
          <w:rFonts w:hint="eastAsia" w:ascii="仿宋" w:hAnsi="仿宋" w:eastAsia="仿宋"/>
          <w:b w:val="0"/>
          <w:color w:val="000000"/>
          <w:sz w:val="32"/>
          <w:szCs w:val="32"/>
        </w:rPr>
        <w:t>。主要原因是增加了办公用品的采购。</w:t>
      </w:r>
    </w:p>
    <w:p>
      <w:pPr>
        <w:autoSpaceDE w:val="0"/>
        <w:autoSpaceDN w:val="0"/>
        <w:adjustRightInd w:val="0"/>
        <w:spacing w:line="590" w:lineRule="exact"/>
        <w:ind w:firstLine="642" w:firstLineChars="200"/>
        <w:jc w:val="left"/>
        <w:outlineLvl w:val="2"/>
        <w:rPr>
          <w:rFonts w:ascii="仿宋" w:hAnsi="仿宋" w:eastAsia="仿宋"/>
          <w:b/>
          <w:sz w:val="32"/>
          <w:szCs w:val="32"/>
        </w:rPr>
      </w:pPr>
      <w:bookmarkStart w:id="133" w:name="_Toc15377223"/>
      <w:r>
        <w:rPr>
          <w:rFonts w:hint="eastAsia" w:ascii="仿宋" w:hAnsi="仿宋" w:eastAsia="仿宋"/>
          <w:b/>
          <w:sz w:val="32"/>
          <w:szCs w:val="32"/>
        </w:rPr>
        <w:t>（二）政府采购支出情况</w:t>
      </w:r>
      <w:bookmarkEnd w:id="133"/>
    </w:p>
    <w:p>
      <w:pPr>
        <w:spacing w:line="590" w:lineRule="exact"/>
        <w:ind w:firstLine="640" w:firstLineChars="200"/>
        <w:rPr>
          <w:rStyle w:val="16"/>
          <w:rFonts w:ascii="仿宋" w:hAnsi="仿宋" w:eastAsia="仿宋"/>
          <w:b w:val="0"/>
          <w:color w:val="000000"/>
          <w:sz w:val="32"/>
          <w:szCs w:val="32"/>
        </w:rPr>
      </w:pPr>
      <w:r>
        <w:rPr>
          <w:rStyle w:val="16"/>
          <w:rFonts w:hint="eastAsia" w:ascii="仿宋" w:hAnsi="仿宋" w:eastAsia="仿宋"/>
          <w:b w:val="0"/>
          <w:color w:val="000000"/>
          <w:sz w:val="32"/>
          <w:szCs w:val="32"/>
        </w:rPr>
        <w:t>2022年，残联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autoSpaceDE w:val="0"/>
        <w:autoSpaceDN w:val="0"/>
        <w:adjustRightInd w:val="0"/>
        <w:spacing w:line="590" w:lineRule="exact"/>
        <w:ind w:firstLine="642" w:firstLineChars="200"/>
        <w:jc w:val="left"/>
        <w:outlineLvl w:val="2"/>
        <w:rPr>
          <w:rFonts w:ascii="仿宋" w:hAnsi="仿宋" w:eastAsia="仿宋" w:cs="仿宋"/>
          <w:b/>
          <w:color w:val="000000"/>
          <w:sz w:val="32"/>
          <w:szCs w:val="32"/>
        </w:rPr>
      </w:pPr>
      <w:r>
        <w:rPr>
          <w:rFonts w:hint="eastAsia" w:ascii="仿宋" w:hAnsi="仿宋" w:eastAsia="仿宋" w:cs="仿宋"/>
          <w:b/>
          <w:color w:val="000000"/>
          <w:sz w:val="32"/>
          <w:szCs w:val="32"/>
        </w:rPr>
        <w:t>（三）国有资产占有使用情况</w:t>
      </w:r>
    </w:p>
    <w:p>
      <w:pPr>
        <w:autoSpaceDE w:val="0"/>
        <w:autoSpaceDN w:val="0"/>
        <w:adjustRightInd w:val="0"/>
        <w:spacing w:line="59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截至2022年12月31日</w:t>
      </w:r>
      <w:r>
        <w:rPr>
          <w:rFonts w:eastAsia="仿宋_GB2312"/>
          <w:color w:val="000000"/>
          <w:sz w:val="32"/>
          <w:szCs w:val="32"/>
        </w:rPr>
        <w:t>，</w:t>
      </w:r>
      <w:r>
        <w:rPr>
          <w:rFonts w:hint="eastAsia" w:eastAsia="仿宋_GB2312"/>
          <w:color w:val="000000"/>
          <w:sz w:val="32"/>
          <w:szCs w:val="32"/>
        </w:rPr>
        <w:t>残联</w:t>
      </w:r>
      <w:r>
        <w:rPr>
          <w:rFonts w:eastAsia="仿宋_GB2312"/>
          <w:color w:val="000000"/>
          <w:sz w:val="32"/>
          <w:szCs w:val="32"/>
        </w:rPr>
        <w:t>共有车辆</w:t>
      </w:r>
      <w:r>
        <w:rPr>
          <w:rFonts w:hint="eastAsia" w:ascii="仿宋_GB2312" w:eastAsia="仿宋_GB2312"/>
          <w:color w:val="000000"/>
          <w:sz w:val="32"/>
          <w:szCs w:val="32"/>
        </w:rPr>
        <w:t>1辆，</w:t>
      </w:r>
      <w:r>
        <w:rPr>
          <w:rFonts w:eastAsia="仿宋_GB2312"/>
          <w:color w:val="000000"/>
          <w:sz w:val="32"/>
          <w:szCs w:val="32"/>
        </w:rPr>
        <w:t>其中：主要领导干部用车</w:t>
      </w:r>
      <w:r>
        <w:rPr>
          <w:rFonts w:hint="eastAsia" w:eastAsia="仿宋_GB2312"/>
          <w:color w:val="000000"/>
          <w:sz w:val="32"/>
          <w:szCs w:val="32"/>
        </w:rPr>
        <w:t>0</w:t>
      </w:r>
      <w:r>
        <w:rPr>
          <w:rFonts w:eastAsia="仿宋_GB2312"/>
          <w:color w:val="000000"/>
          <w:sz w:val="32"/>
          <w:szCs w:val="32"/>
        </w:rPr>
        <w:t>辆、机要通信用车</w:t>
      </w:r>
      <w:r>
        <w:rPr>
          <w:rFonts w:hint="eastAsia" w:eastAsia="仿宋_GB2312"/>
          <w:color w:val="000000"/>
          <w:sz w:val="32"/>
          <w:szCs w:val="32"/>
        </w:rPr>
        <w:t>0</w:t>
      </w:r>
      <w:r>
        <w:rPr>
          <w:rFonts w:eastAsia="仿宋_GB2312"/>
          <w:color w:val="000000"/>
          <w:sz w:val="32"/>
          <w:szCs w:val="32"/>
        </w:rPr>
        <w:t>辆、应急保障用车</w:t>
      </w:r>
      <w:r>
        <w:rPr>
          <w:rFonts w:hint="eastAsia" w:eastAsia="仿宋_GB2312"/>
          <w:color w:val="000000"/>
          <w:sz w:val="32"/>
          <w:szCs w:val="32"/>
        </w:rPr>
        <w:t>0</w:t>
      </w:r>
      <w:r>
        <w:rPr>
          <w:rFonts w:eastAsia="仿宋_GB2312"/>
          <w:color w:val="000000"/>
          <w:sz w:val="32"/>
          <w:szCs w:val="32"/>
        </w:rPr>
        <w:t>辆、其他用车</w:t>
      </w:r>
      <w:r>
        <w:rPr>
          <w:rFonts w:hint="eastAsia" w:eastAsia="仿宋_GB2312"/>
          <w:color w:val="000000"/>
          <w:sz w:val="32"/>
          <w:szCs w:val="32"/>
        </w:rPr>
        <w:t>1</w:t>
      </w:r>
      <w:r>
        <w:rPr>
          <w:rFonts w:eastAsia="仿宋_GB2312"/>
          <w:color w:val="000000"/>
          <w:sz w:val="32"/>
          <w:szCs w:val="32"/>
        </w:rPr>
        <w:t>辆，</w:t>
      </w:r>
      <w:r>
        <w:rPr>
          <w:rFonts w:eastAsia="仿宋_GB2312"/>
          <w:color w:val="000000" w:themeColor="text1"/>
          <w:sz w:val="32"/>
          <w:szCs w:val="32"/>
        </w:rPr>
        <w:t>其他用车主要是</w:t>
      </w:r>
      <w:r>
        <w:rPr>
          <w:rFonts w:hint="eastAsia" w:ascii="仿宋_GB2312" w:eastAsia="仿宋_GB2312"/>
          <w:color w:val="000000"/>
          <w:sz w:val="32"/>
          <w:szCs w:val="32"/>
        </w:rPr>
        <w:t>用于下乡。</w:t>
      </w:r>
    </w:p>
    <w:p>
      <w:pPr>
        <w:pStyle w:val="2"/>
        <w:spacing w:beforeLines="0" w:line="590" w:lineRule="exact"/>
        <w:ind w:firstLine="640" w:firstLineChars="200"/>
        <w:rPr>
          <w:rFonts w:ascii="Times New Roman"/>
          <w:color w:val="000000"/>
          <w:kern w:val="2"/>
          <w:sz w:val="32"/>
          <w:szCs w:val="32"/>
        </w:rPr>
      </w:pPr>
      <w:r>
        <w:rPr>
          <w:rFonts w:ascii="Times New Roman"/>
          <w:color w:val="000000"/>
          <w:kern w:val="2"/>
          <w:sz w:val="32"/>
          <w:szCs w:val="32"/>
        </w:rPr>
        <w:t>单价100万元以上专用设备</w:t>
      </w:r>
      <w:r>
        <w:rPr>
          <w:rFonts w:hint="eastAsia" w:ascii="Times New Roman"/>
          <w:color w:val="000000"/>
          <w:kern w:val="2"/>
          <w:sz w:val="32"/>
          <w:szCs w:val="32"/>
        </w:rPr>
        <w:t>0</w:t>
      </w:r>
      <w:r>
        <w:rPr>
          <w:rFonts w:ascii="Times New Roman"/>
          <w:color w:val="000000"/>
          <w:kern w:val="2"/>
          <w:sz w:val="32"/>
          <w:szCs w:val="32"/>
        </w:rPr>
        <w:t>台（套）。</w:t>
      </w:r>
    </w:p>
    <w:p>
      <w:pPr>
        <w:spacing w:line="590" w:lineRule="exact"/>
        <w:ind w:firstLine="642" w:firstLineChars="200"/>
        <w:rPr>
          <w:rFonts w:ascii="仿宋" w:hAnsi="仿宋" w:eastAsia="仿宋" w:cs="仿宋"/>
          <w:color w:val="000000"/>
          <w:sz w:val="32"/>
          <w:szCs w:val="32"/>
        </w:rPr>
      </w:pPr>
      <w:r>
        <w:rPr>
          <w:rFonts w:hint="eastAsia" w:ascii="仿宋" w:hAnsi="仿宋" w:eastAsia="仿宋" w:cs="仿宋"/>
          <w:b/>
          <w:bCs/>
          <w:color w:val="000000"/>
          <w:sz w:val="32"/>
          <w:szCs w:val="32"/>
        </w:rPr>
        <w:t>（四）预算绩效管理工作开展情况</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根据预算绩效管理要求，本单位在年初预算编制阶段，组织对残疾人康复项目开展了预算事前绩效评估，残疾儿童康复项目编制了绩效目标，预算执行过程中并开展绩效监控。</w:t>
      </w:r>
    </w:p>
    <w:p>
      <w:pPr>
        <w:snapToGrid w:val="0"/>
        <w:spacing w:line="590" w:lineRule="exact"/>
        <w:ind w:firstLine="640" w:firstLineChars="200"/>
        <w:rPr>
          <w:rFonts w:ascii="仿宋_GB2312" w:eastAsia="仿宋_GB2312"/>
          <w:sz w:val="33"/>
          <w:szCs w:val="33"/>
        </w:rPr>
      </w:pPr>
      <w:r>
        <w:rPr>
          <w:rFonts w:hint="eastAsia" w:ascii="仿宋_GB2312" w:hAnsi="仿宋_GB2312" w:eastAsia="仿宋_GB2312" w:cs="仿宋_GB2312"/>
          <w:sz w:val="32"/>
          <w:szCs w:val="32"/>
        </w:rPr>
        <w:t>本单位按要求对2022部门整体支出开展绩效自评，从评价情况来看</w:t>
      </w:r>
      <w:r>
        <w:rPr>
          <w:rFonts w:hint="eastAsia" w:ascii="仿宋_GB2312" w:eastAsia="仿宋_GB2312"/>
          <w:sz w:val="33"/>
          <w:szCs w:val="33"/>
        </w:rPr>
        <w:t>2022年我会已完成</w:t>
      </w:r>
      <w:r>
        <w:rPr>
          <w:rFonts w:hint="eastAsia" w:ascii="仿宋" w:hAnsi="仿宋" w:eastAsia="仿宋" w:cs="仿宋"/>
          <w:sz w:val="32"/>
          <w:szCs w:val="32"/>
        </w:rPr>
        <w:t>为170名0-14岁残疾儿童提供康复，为420名残疾人提供就业补贴，为300名残疾人提供实用技术培训，为144名残疾人</w:t>
      </w:r>
      <w:bookmarkStart w:id="217" w:name="_GoBack"/>
      <w:bookmarkEnd w:id="217"/>
      <w:r>
        <w:rPr>
          <w:rFonts w:hint="eastAsia" w:ascii="仿宋" w:hAnsi="仿宋" w:eastAsia="仿宋" w:cs="仿宋"/>
          <w:sz w:val="32"/>
          <w:szCs w:val="32"/>
        </w:rPr>
        <w:t>提供无障碍改造，为5名残疾人安装假肢，为500名精神残疾人提供免费服药，为306名精神、智力残疾人提供集中托养；为520名残疾人免费提供辅具，</w:t>
      </w:r>
      <w:r>
        <w:rPr>
          <w:rFonts w:hint="eastAsia" w:ascii="仿宋" w:hAnsi="仿宋" w:eastAsia="仿宋"/>
          <w:color w:val="000000"/>
          <w:sz w:val="32"/>
          <w:szCs w:val="32"/>
        </w:rPr>
        <w:t>为111名精神智力残疾人发放办证补贴，</w:t>
      </w:r>
      <w:r>
        <w:rPr>
          <w:rFonts w:hint="eastAsia" w:ascii="仿宋_GB2312" w:eastAsia="仿宋_GB2312"/>
          <w:sz w:val="33"/>
          <w:szCs w:val="33"/>
        </w:rPr>
        <w:t>我单位还自行组织了残疾人无障碍改造绩效评价，从评价情况看来，我会制度健全，资金使用规范，做到专款专用。</w:t>
      </w:r>
    </w:p>
    <w:p>
      <w:pPr>
        <w:snapToGrid w:val="0"/>
        <w:spacing w:line="590" w:lineRule="exact"/>
        <w:ind w:firstLine="662" w:firstLineChars="200"/>
        <w:rPr>
          <w:rFonts w:ascii="仿宋" w:hAnsi="仿宋" w:eastAsia="仿宋" w:cs="仿宋"/>
          <w:b/>
          <w:bCs/>
          <w:sz w:val="33"/>
          <w:szCs w:val="33"/>
        </w:rPr>
      </w:pPr>
      <w:r>
        <w:rPr>
          <w:rFonts w:hint="eastAsia" w:ascii="仿宋" w:hAnsi="仿宋" w:eastAsia="仿宋" w:cs="仿宋"/>
          <w:b/>
          <w:bCs/>
          <w:sz w:val="33"/>
          <w:szCs w:val="33"/>
        </w:rPr>
        <w:t>1.项目绩效目标完成情况</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本部门在2022年度部门决算中反映“一般行政管理事务”“残疾人康复”“其他残疾人事业支出”“农林水支出”“用于残疾人事业彩票公益金支出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5个科目中包含了13个小项目绩效目标实际完成情况。</w:t>
      </w:r>
    </w:p>
    <w:p>
      <w:pPr>
        <w:spacing w:line="59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（1）一般行政管理事务项目绩效目标完成情况综述</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项目全年预算数66.92万元，执行数为66.92万元，完成预算的100%。用于精神残疾人免费服药，通过康复救助，为残疾人家庭减轻了负担，康复效果显著，为残疾儿童融入社会奠定了良好的基础。</w:t>
      </w:r>
    </w:p>
    <w:p>
      <w:pPr>
        <w:spacing w:line="590" w:lineRule="exact"/>
        <w:ind w:firstLine="640" w:firstLineChars="200"/>
        <w:rPr>
          <w:rFonts w:ascii="楷体" w:hAnsi="楷体" w:eastAsia="楷体" w:cs="楷体"/>
          <w:sz w:val="32"/>
          <w:szCs w:val="32"/>
        </w:rPr>
      </w:pPr>
      <w:r>
        <w:rPr>
          <w:rFonts w:hint="eastAsia" w:ascii="楷体" w:hAnsi="楷体" w:eastAsia="楷体" w:cs="楷体"/>
          <w:sz w:val="32"/>
          <w:szCs w:val="32"/>
        </w:rPr>
        <w:t>（2）残疾人儿童康复项目目标完成情况综述</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项目全年预算数194.91万元，执行数为194.91万元，完成预算的100%。残疾人儿童康复39.44万元，残疾人康复中心建设155.48万元。</w:t>
      </w:r>
    </w:p>
    <w:p>
      <w:pPr>
        <w:spacing w:line="59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（3）其他残疾人事业支出项目绩效目标完成情况</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全年预算数481.64万元，执行数为481.64万元，完成预算数100%,该项目中共完成7个小项目，主要包括残疾人就业直补、残疾人康复设备购置、残疾人评残补贴、残疾人实用技术培训、为残疾儿童康复、残疾人辅具、残疾人康复中心附属设施。通过项目实施，残疾人掌握了实用技术，残疾人家庭收入增高，残疾人康复意识增强。发现的主要问题：</w:t>
      </w:r>
      <w:r>
        <w:rPr>
          <w:rFonts w:hint="eastAsia" w:ascii="仿宋_GB2312" w:eastAsia="仿宋_GB2312"/>
          <w:sz w:val="33"/>
          <w:szCs w:val="33"/>
        </w:rPr>
        <w:t>资金较少，不能满足我县8.7万残疾人的需求，很多项目不能全覆盖。</w:t>
      </w:r>
    </w:p>
    <w:p>
      <w:pPr>
        <w:pStyle w:val="2"/>
        <w:spacing w:beforeLines="0" w:line="590" w:lineRule="exact"/>
        <w:ind w:firstLine="660" w:firstLineChars="200"/>
        <w:rPr>
          <w:rFonts w:ascii="楷体" w:hAnsi="楷体" w:eastAsia="楷体" w:cs="楷体"/>
          <w:sz w:val="33"/>
          <w:szCs w:val="33"/>
        </w:rPr>
      </w:pPr>
      <w:r>
        <w:rPr>
          <w:rFonts w:hint="eastAsia" w:ascii="楷体" w:hAnsi="楷体" w:eastAsia="楷体" w:cs="楷体"/>
          <w:sz w:val="33"/>
          <w:szCs w:val="33"/>
        </w:rPr>
        <w:t>（4）农林水利支出完成情况</w:t>
      </w:r>
    </w:p>
    <w:p>
      <w:pPr>
        <w:pStyle w:val="2"/>
        <w:spacing w:beforeLines="0" w:line="590" w:lineRule="exact"/>
        <w:ind w:firstLine="660" w:firstLineChars="200"/>
        <w:rPr>
          <w:color w:val="FF0000"/>
        </w:rPr>
      </w:pPr>
      <w:r>
        <w:rPr>
          <w:rFonts w:hint="eastAsia"/>
          <w:sz w:val="33"/>
          <w:szCs w:val="33"/>
        </w:rPr>
        <w:t>项目全年预算数80万元，执行数为80万元，完成预算数100%。通过残疾人股权量化的实施，残疾人得到了实施，增加了收入。</w:t>
      </w:r>
    </w:p>
    <w:p>
      <w:pPr>
        <w:spacing w:line="590" w:lineRule="exact"/>
        <w:ind w:firstLine="660" w:firstLineChars="200"/>
        <w:rPr>
          <w:rFonts w:ascii="仿宋_GB2312" w:eastAsia="仿宋_GB2312"/>
          <w:kern w:val="0"/>
          <w:sz w:val="33"/>
          <w:szCs w:val="33"/>
        </w:rPr>
      </w:pPr>
      <w:r>
        <w:rPr>
          <w:rFonts w:hint="eastAsia" w:ascii="楷体" w:hAnsi="楷体" w:eastAsia="楷体" w:cs="楷体"/>
          <w:sz w:val="33"/>
          <w:szCs w:val="33"/>
        </w:rPr>
        <w:t>（5）用于残疾人事业彩票公益金支出项目绩效目标完成情况</w:t>
      </w:r>
      <w:r>
        <w:rPr>
          <w:rFonts w:hint="eastAsia" w:ascii="仿宋_GB2312" w:eastAsia="仿宋_GB2312"/>
          <w:kern w:val="0"/>
          <w:sz w:val="33"/>
          <w:szCs w:val="33"/>
        </w:rPr>
        <w:t>项目全年预算数110.64万元，执行数为110.64万元，完成预算数为100%。残疾人无障碍改造68.64万元，残疾人体育复健进校园31万元，残疾人体育比赛11万元；通过残疾人无障碍改造项目实施，改善了残疾人出行，体育比赛进校园项目的实施活动对残疾人儿童努力地释放自己的纯真与快乐。</w:t>
      </w:r>
    </w:p>
    <w:p>
      <w:pPr>
        <w:pStyle w:val="2"/>
        <w:spacing w:beforeLines="0" w:line="590" w:lineRule="exact"/>
        <w:ind w:firstLine="600" w:firstLineChars="200"/>
      </w:pPr>
      <w:bookmarkStart w:id="134" w:name="_Toc15377225"/>
      <w:bookmarkStart w:id="135" w:name="_Toc18898_WPSOffice_Level1"/>
      <w:bookmarkStart w:id="136" w:name="_Toc48743023"/>
      <w:bookmarkStart w:id="137" w:name="_Toc48743094"/>
      <w:bookmarkStart w:id="138" w:name="_Toc22280"/>
      <w:bookmarkStart w:id="139" w:name="_Toc9245"/>
      <w:bookmarkStart w:id="140" w:name="_Toc48743204"/>
    </w:p>
    <w:p>
      <w:pPr>
        <w:pStyle w:val="3"/>
        <w:spacing w:before="0" w:after="0" w:line="590" w:lineRule="exact"/>
        <w:ind w:firstLine="883" w:firstLineChars="200"/>
        <w:jc w:val="center"/>
      </w:pPr>
      <w:bookmarkStart w:id="141" w:name="_Toc30575"/>
      <w:r>
        <w:rPr>
          <w:rFonts w:hint="eastAsia"/>
        </w:rPr>
        <w:t>第三部分 名词解释</w:t>
      </w:r>
      <w:bookmarkEnd w:id="134"/>
      <w:bookmarkEnd w:id="135"/>
      <w:bookmarkEnd w:id="136"/>
      <w:bookmarkEnd w:id="137"/>
      <w:bookmarkEnd w:id="138"/>
      <w:bookmarkEnd w:id="139"/>
      <w:bookmarkEnd w:id="140"/>
      <w:bookmarkEnd w:id="141"/>
    </w:p>
    <w:p>
      <w:pPr>
        <w:autoSpaceDE w:val="0"/>
        <w:autoSpaceDN w:val="0"/>
        <w:adjustRightInd w:val="0"/>
        <w:spacing w:line="590" w:lineRule="exact"/>
        <w:ind w:firstLine="642" w:firstLineChars="200"/>
        <w:jc w:val="left"/>
        <w:rPr>
          <w:rFonts w:ascii="仿宋" w:hAnsi="仿宋" w:eastAsia="仿宋"/>
          <w:b/>
          <w:color w:val="000000"/>
          <w:sz w:val="32"/>
          <w:szCs w:val="32"/>
        </w:rPr>
      </w:pPr>
    </w:p>
    <w:p>
      <w:pPr>
        <w:pStyle w:val="24"/>
        <w:spacing w:line="590" w:lineRule="exact"/>
        <w:ind w:firstLine="640" w:firstLineChars="200"/>
        <w:outlineLvl w:val="1"/>
        <w:rPr>
          <w:rFonts w:hAnsi="仿宋"/>
          <w:sz w:val="32"/>
          <w:szCs w:val="32"/>
        </w:rPr>
      </w:pPr>
      <w:bookmarkStart w:id="142" w:name="_Toc655"/>
      <w:bookmarkStart w:id="143" w:name="_Toc4868"/>
      <w:bookmarkStart w:id="144" w:name="_Toc15213"/>
      <w:r>
        <w:rPr>
          <w:rFonts w:hint="eastAsia" w:hAnsi="仿宋"/>
          <w:sz w:val="32"/>
          <w:szCs w:val="32"/>
        </w:rPr>
        <w:t>1、财政拨款收入：指县财政当年拨付的资金。</w:t>
      </w:r>
      <w:bookmarkEnd w:id="142"/>
      <w:bookmarkEnd w:id="143"/>
      <w:bookmarkEnd w:id="144"/>
    </w:p>
    <w:p>
      <w:pPr>
        <w:pStyle w:val="24"/>
        <w:spacing w:line="590" w:lineRule="exact"/>
        <w:ind w:firstLine="640" w:firstLineChars="200"/>
        <w:rPr>
          <w:rFonts w:hAnsi="仿宋"/>
          <w:sz w:val="32"/>
          <w:szCs w:val="32"/>
        </w:rPr>
      </w:pPr>
      <w:r>
        <w:rPr>
          <w:rFonts w:hint="eastAsia" w:hAnsi="仿宋"/>
          <w:sz w:val="32"/>
          <w:szCs w:val="32"/>
        </w:rPr>
        <w:t>2、</w:t>
      </w:r>
      <w:r>
        <w:rPr>
          <w:rFonts w:hint="eastAsia" w:hAnsi="仿宋"/>
          <w:kern w:val="2"/>
          <w:sz w:val="32"/>
          <w:szCs w:val="32"/>
        </w:rPr>
        <w:t>社会保障和就业支出（类）残疾人事业（款）行政运行（项）:</w:t>
      </w:r>
      <w:r>
        <w:rPr>
          <w:rFonts w:hint="eastAsia" w:hAnsi="仿宋"/>
          <w:sz w:val="32"/>
          <w:szCs w:val="32"/>
        </w:rPr>
        <w:t>指残疾人机关行政运行。</w:t>
      </w:r>
    </w:p>
    <w:p>
      <w:pPr>
        <w:spacing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3、社会保障和就业支出（类）残疾人事业（款）残疾人康复（项）：指残疾人康复。</w:t>
      </w:r>
    </w:p>
    <w:p>
      <w:pPr>
        <w:spacing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4、社会保障和就业支出（类）残疾人事业（款）其他残疾人事业支出（项）：指其他残疾人事业支出。</w:t>
      </w:r>
    </w:p>
    <w:p>
      <w:pPr>
        <w:spacing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5、社会保障和就业支出（类）行政事业单位养老支出（款）机关事业单位基本养老保险缴费支出（项）:指机关事业单位实施养老保险制度由单位缴纳的基本养老保险费支出。</w:t>
      </w:r>
    </w:p>
    <w:p>
      <w:pPr>
        <w:spacing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6、社会保障和就业支出（类）行政事业单位离退休（款）机关事业单位职业年金缴费支出（项）: 指机关事业单位实施养老保险制度由单位实际缴纳的职业年金支出。</w:t>
      </w:r>
    </w:p>
    <w:p>
      <w:pPr>
        <w:spacing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7、基本支出：指为保障机构正常运转、完成日常工作任务而发生的人员支出和公用支出。</w:t>
      </w:r>
    </w:p>
    <w:p>
      <w:pPr>
        <w:spacing w:line="59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8、项目支出：指在基本支出之外为完成残疾人事业发展目标所发生的支出。 </w:t>
      </w:r>
    </w:p>
    <w:p>
      <w:pPr>
        <w:pStyle w:val="24"/>
        <w:spacing w:line="590" w:lineRule="exact"/>
        <w:ind w:firstLine="640" w:firstLineChars="200"/>
        <w:rPr>
          <w:rFonts w:hAnsi="仿宋"/>
          <w:sz w:val="32"/>
          <w:szCs w:val="32"/>
        </w:rPr>
      </w:pPr>
      <w:r>
        <w:rPr>
          <w:rFonts w:hint="eastAsia" w:hAnsi="仿宋"/>
          <w:sz w:val="32"/>
          <w:szCs w:val="32"/>
        </w:rPr>
        <w:t>9、“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4"/>
        <w:spacing w:line="590" w:lineRule="exact"/>
        <w:ind w:firstLine="640" w:firstLineChars="200"/>
        <w:rPr>
          <w:rFonts w:hAnsi="仿宋"/>
          <w:sz w:val="32"/>
          <w:szCs w:val="32"/>
        </w:rPr>
      </w:pPr>
      <w:r>
        <w:rPr>
          <w:rFonts w:hint="eastAsia" w:hAnsi="仿宋"/>
          <w:sz w:val="32"/>
          <w:szCs w:val="32"/>
        </w:rPr>
        <w:t>10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jc w:val="left"/>
        <w:rPr>
          <w:rFonts w:ascii="仿宋" w:hAnsi="仿宋" w:eastAsia="仿宋" w:cs="仿宋"/>
          <w:color w:val="000000"/>
          <w:kern w:val="0"/>
          <w:sz w:val="32"/>
          <w:szCs w:val="32"/>
        </w:rPr>
      </w:pPr>
      <w:r>
        <w:rPr>
          <w:rFonts w:hAnsi="仿宋"/>
          <w:sz w:val="32"/>
          <w:szCs w:val="32"/>
        </w:rPr>
        <w:br w:type="page"/>
      </w:r>
    </w:p>
    <w:p>
      <w:pPr>
        <w:pStyle w:val="3"/>
        <w:jc w:val="center"/>
        <w:rPr>
          <w:rStyle w:val="26"/>
          <w:rFonts w:ascii="黑体" w:hAnsi="黑体"/>
          <w:b w:val="0"/>
          <w:bCs/>
        </w:rPr>
      </w:pPr>
      <w:bookmarkStart w:id="145" w:name="_Toc26184"/>
      <w:bookmarkStart w:id="146" w:name="_Toc48743095"/>
      <w:bookmarkStart w:id="147" w:name="_Toc9861"/>
      <w:bookmarkStart w:id="148" w:name="_Toc48743205"/>
      <w:bookmarkStart w:id="149" w:name="_Toc22083_WPSOffice_Level1"/>
      <w:bookmarkStart w:id="150" w:name="_Toc48743024"/>
      <w:bookmarkStart w:id="151" w:name="_Toc11555"/>
      <w:bookmarkStart w:id="152" w:name="_Toc32674"/>
      <w:r>
        <w:rPr>
          <w:rFonts w:hint="eastAsia"/>
        </w:rPr>
        <w:t>第四部分 附件</w:t>
      </w:r>
      <w:bookmarkEnd w:id="145"/>
      <w:bookmarkEnd w:id="146"/>
      <w:bookmarkEnd w:id="147"/>
      <w:bookmarkEnd w:id="148"/>
      <w:bookmarkEnd w:id="149"/>
      <w:bookmarkEnd w:id="150"/>
      <w:bookmarkEnd w:id="151"/>
      <w:bookmarkEnd w:id="152"/>
    </w:p>
    <w:p>
      <w:pPr>
        <w:pStyle w:val="4"/>
        <w:spacing w:before="0" w:after="0" w:line="590" w:lineRule="exact"/>
        <w:ind w:firstLine="642" w:firstLineChars="200"/>
        <w:jc w:val="left"/>
        <w:rPr>
          <w:rStyle w:val="26"/>
          <w:rFonts w:ascii="黑体" w:hAnsi="黑体" w:cs="黑体"/>
          <w:b w:val="0"/>
          <w:bCs w:val="0"/>
          <w:sz w:val="32"/>
          <w:szCs w:val="32"/>
        </w:rPr>
      </w:pPr>
      <w:bookmarkStart w:id="153" w:name="_Toc13189"/>
      <w:bookmarkStart w:id="154" w:name="_Toc2650"/>
      <w:bookmarkStart w:id="155" w:name="_Toc48743096"/>
      <w:bookmarkStart w:id="156" w:name="_Toc48743807"/>
      <w:bookmarkStart w:id="157" w:name="_Toc48743206"/>
      <w:bookmarkStart w:id="158" w:name="_Toc11357"/>
      <w:bookmarkStart w:id="159" w:name="_Toc48743025"/>
      <w:bookmarkStart w:id="160" w:name="_Toc29249"/>
      <w:r>
        <w:rPr>
          <w:rFonts w:hint="eastAsia" w:ascii="黑体" w:hAnsi="黑体" w:cs="黑体"/>
          <w:bCs w:val="0"/>
        </w:rPr>
        <w:t>附件</w:t>
      </w:r>
      <w:bookmarkEnd w:id="153"/>
      <w:bookmarkEnd w:id="154"/>
      <w:bookmarkEnd w:id="155"/>
      <w:bookmarkEnd w:id="156"/>
      <w:bookmarkEnd w:id="157"/>
      <w:bookmarkEnd w:id="158"/>
      <w:bookmarkEnd w:id="159"/>
      <w:r>
        <w:rPr>
          <w:rFonts w:hint="eastAsia" w:ascii="黑体" w:hAnsi="黑体" w:cs="黑体"/>
          <w:bCs w:val="0"/>
        </w:rPr>
        <w:t>1</w:t>
      </w:r>
      <w:bookmarkEnd w:id="160"/>
    </w:p>
    <w:p>
      <w:pPr>
        <w:spacing w:line="590" w:lineRule="exact"/>
        <w:jc w:val="center"/>
        <w:outlineLvl w:val="0"/>
        <w:rPr>
          <w:rFonts w:ascii="方正小标宋_GBK" w:hAnsi="方正小标宋_GBK" w:eastAsia="方正小标宋_GBK" w:cs="方正小标宋_GBK"/>
          <w:sz w:val="36"/>
          <w:szCs w:val="36"/>
        </w:rPr>
      </w:pPr>
      <w:bookmarkStart w:id="161" w:name="_Toc48743097"/>
      <w:bookmarkStart w:id="162" w:name="_Toc48743026"/>
      <w:bookmarkStart w:id="163" w:name="_Toc8084"/>
      <w:bookmarkStart w:id="164" w:name="_Toc9416"/>
      <w:bookmarkStart w:id="165" w:name="_Toc14226"/>
      <w:bookmarkStart w:id="166" w:name="_Toc6696_WPSOffice_Level2"/>
      <w:bookmarkStart w:id="167" w:name="_Toc48743808"/>
      <w:bookmarkStart w:id="168" w:name="_Toc6732"/>
      <w:bookmarkStart w:id="169" w:name="_Toc11941"/>
      <w:bookmarkStart w:id="170" w:name="_Toc48743207"/>
      <w:bookmarkStart w:id="171" w:name="_Toc15396616"/>
      <w:r>
        <w:rPr>
          <w:rFonts w:hint="eastAsia" w:ascii="方正小标宋_GBK" w:hAnsi="方正小标宋_GBK" w:eastAsia="方正小标宋_GBK" w:cs="方正小标宋_GBK"/>
          <w:sz w:val="36"/>
          <w:szCs w:val="36"/>
        </w:rPr>
        <w:t>岳池县残联2022年</w:t>
      </w:r>
      <w:bookmarkEnd w:id="161"/>
      <w:bookmarkEnd w:id="162"/>
      <w:bookmarkEnd w:id="163"/>
      <w:bookmarkEnd w:id="164"/>
      <w:bookmarkEnd w:id="165"/>
      <w:bookmarkEnd w:id="166"/>
      <w:bookmarkEnd w:id="167"/>
      <w:bookmarkEnd w:id="168"/>
      <w:bookmarkEnd w:id="169"/>
      <w:bookmarkEnd w:id="170"/>
      <w:bookmarkStart w:id="172" w:name="_Toc28936"/>
      <w:bookmarkStart w:id="173" w:name="_Toc10793"/>
      <w:bookmarkStart w:id="174" w:name="_Toc48743098"/>
      <w:bookmarkStart w:id="175" w:name="_Toc21182"/>
      <w:bookmarkStart w:id="176" w:name="_Toc48743208"/>
      <w:bookmarkStart w:id="177" w:name="_Toc21758"/>
      <w:bookmarkStart w:id="178" w:name="_Toc22718_WPSOffice_Level2"/>
      <w:bookmarkStart w:id="179" w:name="_Toc48743809"/>
      <w:bookmarkStart w:id="180" w:name="_Toc13106"/>
      <w:bookmarkStart w:id="181" w:name="_Toc48743027"/>
      <w:r>
        <w:rPr>
          <w:rFonts w:hint="eastAsia" w:ascii="方正小标宋_GBK" w:hAnsi="方正小标宋_GBK" w:eastAsia="方正小标宋_GBK" w:cs="方正小标宋_GBK"/>
          <w:sz w:val="36"/>
          <w:szCs w:val="36"/>
        </w:rPr>
        <w:t>部门整体</w:t>
      </w:r>
    </w:p>
    <w:p>
      <w:pPr>
        <w:spacing w:line="590" w:lineRule="exact"/>
        <w:jc w:val="center"/>
        <w:outlineLvl w:val="0"/>
        <w:rPr>
          <w:rFonts w:ascii="黑体" w:hAnsi="黑体" w:eastAsia="黑体" w:cs="方正小标宋简体"/>
          <w:sz w:val="36"/>
          <w:szCs w:val="36"/>
        </w:rPr>
      </w:pPr>
      <w:r>
        <w:rPr>
          <w:rFonts w:hint="eastAsia" w:ascii="方正小标宋_GBK" w:hAnsi="方正小标宋_GBK" w:eastAsia="方正小标宋_GBK" w:cs="方正小标宋_GBK"/>
          <w:sz w:val="36"/>
          <w:szCs w:val="36"/>
        </w:rPr>
        <w:t>绩效自评价报告</w:t>
      </w:r>
      <w:bookmarkEnd w:id="171"/>
      <w:bookmarkEnd w:id="172"/>
      <w:bookmarkEnd w:id="173"/>
      <w:bookmarkEnd w:id="174"/>
      <w:bookmarkEnd w:id="175"/>
      <w:bookmarkEnd w:id="176"/>
      <w:bookmarkEnd w:id="177"/>
      <w:bookmarkEnd w:id="178"/>
      <w:bookmarkEnd w:id="179"/>
      <w:bookmarkEnd w:id="180"/>
      <w:bookmarkEnd w:id="181"/>
    </w:p>
    <w:p>
      <w:pPr>
        <w:spacing w:line="590" w:lineRule="exact"/>
        <w:ind w:firstLine="640" w:firstLineChars="200"/>
        <w:jc w:val="left"/>
        <w:outlineLvl w:val="2"/>
        <w:rPr>
          <w:rFonts w:ascii="仿宋" w:hAnsi="仿宋" w:eastAsia="仿宋" w:cs="仿宋"/>
          <w:sz w:val="32"/>
          <w:szCs w:val="32"/>
        </w:rPr>
      </w:pPr>
      <w:bookmarkStart w:id="182" w:name="_Toc27739_WPSOffice_Level2"/>
      <w:bookmarkStart w:id="183" w:name="_Toc26230"/>
      <w:bookmarkStart w:id="184" w:name="_Toc19647"/>
      <w:bookmarkStart w:id="185" w:name="_Toc22535"/>
      <w:r>
        <w:rPr>
          <w:rFonts w:hint="eastAsia" w:ascii="黑体" w:hAnsi="黑体" w:eastAsia="黑体" w:cs="黑体"/>
          <w:sz w:val="32"/>
          <w:szCs w:val="32"/>
        </w:rPr>
        <w:t>一、部门概况</w:t>
      </w:r>
      <w:bookmarkEnd w:id="182"/>
      <w:bookmarkEnd w:id="183"/>
      <w:bookmarkEnd w:id="184"/>
      <w:bookmarkEnd w:id="185"/>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（一）机构组成</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2个职能部室：办公室、综合股，二级机构一个，岳池县残疾人服务中心</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（二）主要职能</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反映残疾人需要，维护残疾人权益，为残疾人服务，沟通政府、社会与残疾人之间的联系，动员社会理解、尊重、关心、帮助残疾人。</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1、宣传贯彻残疾人保障法，在县委、县政府的领导和市残联的指导下开展工作，发展全县残疾人事业。维护残疾人在政治、经济、文化、社会等方面平等的公民权利，密切联系残疾人，听取残疾人意见，反映残疾人需求，全心全意为残疾人服务。</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2、团结、教育残疾人遵守法律，履行应尽</w:t>
      </w:r>
      <w:r>
        <w:rPr>
          <w:rFonts w:hint="eastAsia" w:ascii="仿宋" w:hAnsi="仿宋" w:eastAsia="仿宋" w:cs="仿宋"/>
          <w:sz w:val="32"/>
          <w:szCs w:val="32"/>
          <w:lang w:eastAsia="zh-CN"/>
        </w:rPr>
        <w:t>的</w:t>
      </w:r>
      <w:r>
        <w:rPr>
          <w:rFonts w:hint="eastAsia" w:ascii="仿宋" w:hAnsi="仿宋" w:eastAsia="仿宋" w:cs="仿宋"/>
          <w:sz w:val="32"/>
          <w:szCs w:val="32"/>
        </w:rPr>
        <w:t>义务，自尊、自信、自强、自立，为构建和谐社会、全面建成小康社会贡献力量。</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3、沟通政府、社会与残疾人之间的联系，宣传残疾人事业，动员社会理解、尊重、关心、帮助残疾人。</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4、开展和促进残疾人康复、教育、扶贫、劳动就业、维权、文化体育、社会保障和残疾预防等工作，改善残疾人参与社会生活的环境和条件。</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5、协助政府研究、制定和实施残疾人事业的法律、法规、政策、规划，发挥综合、协调、咨询、服务作用，对有关领域的工作进行管理和指导。</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7、管理和发放残疾人证。</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8、管理和指导各类残疾人群众组织，培养残疾人工作者，使残疾人在残疾人组织中更加活跃，残疾人组织在基层更加活跃，残疾人和残疾人组织在社会上更加活跃。</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9、承担政府交办的其他工作。</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（三）人员概况</w:t>
      </w:r>
    </w:p>
    <w:p>
      <w:pPr>
        <w:widowControl/>
        <w:adjustRightInd w:val="0"/>
        <w:snapToGrid w:val="0"/>
        <w:spacing w:line="590" w:lineRule="exact"/>
        <w:ind w:firstLine="640" w:firstLineChars="200"/>
        <w:contextualSpacing/>
        <w:jc w:val="left"/>
        <w:rPr>
          <w:rFonts w:ascii="仿宋" w:hAnsi="仿宋" w:eastAsia="仿宋" w:cs="仿宋"/>
          <w:color w:val="000000"/>
          <w:sz w:val="32"/>
          <w:szCs w:val="32"/>
        </w:rPr>
      </w:pPr>
      <w:r>
        <w:rPr>
          <w:rFonts w:hint="eastAsia" w:ascii="仿宋" w:hAnsi="仿宋" w:eastAsia="仿宋" w:cs="仿宋"/>
          <w:color w:val="000000"/>
          <w:sz w:val="32"/>
          <w:szCs w:val="32"/>
        </w:rPr>
        <w:t>我会现有编制11人,在职干部职工11人，退休人员8人；</w:t>
      </w:r>
    </w:p>
    <w:p>
      <w:pPr>
        <w:widowControl/>
        <w:adjustRightInd w:val="0"/>
        <w:snapToGrid w:val="0"/>
        <w:spacing w:line="590" w:lineRule="exact"/>
        <w:ind w:firstLine="640" w:firstLineChars="200"/>
        <w:contextualSpacing/>
        <w:jc w:val="left"/>
        <w:rPr>
          <w:rFonts w:ascii="黑体" w:hAnsi="黑体" w:eastAsia="黑体" w:cs="黑体"/>
          <w:color w:val="000000"/>
          <w:sz w:val="32"/>
          <w:szCs w:val="32"/>
        </w:rPr>
      </w:pPr>
      <w:bookmarkStart w:id="186" w:name="_Toc9888"/>
      <w:bookmarkStart w:id="187" w:name="_Toc10741"/>
      <w:bookmarkStart w:id="188" w:name="_Toc5567"/>
      <w:bookmarkStart w:id="189" w:name="_Toc14551_WPSOffice_Level2"/>
      <w:r>
        <w:rPr>
          <w:rFonts w:hint="eastAsia" w:ascii="黑体" w:hAnsi="黑体" w:eastAsia="黑体" w:cs="黑体"/>
          <w:color w:val="000000"/>
          <w:sz w:val="32"/>
          <w:szCs w:val="32"/>
        </w:rPr>
        <w:t>二、部门财政收支情况</w:t>
      </w:r>
      <w:bookmarkEnd w:id="186"/>
      <w:bookmarkEnd w:id="187"/>
      <w:bookmarkEnd w:id="188"/>
    </w:p>
    <w:p>
      <w:pPr>
        <w:widowControl/>
        <w:adjustRightInd w:val="0"/>
        <w:snapToGrid w:val="0"/>
        <w:spacing w:line="590" w:lineRule="exact"/>
        <w:ind w:firstLine="640" w:firstLineChars="200"/>
        <w:contextualSpacing/>
        <w:jc w:val="left"/>
        <w:rPr>
          <w:rFonts w:ascii="仿宋" w:hAnsi="仿宋" w:eastAsia="仿宋" w:cs="仿宋"/>
          <w:sz w:val="32"/>
          <w:szCs w:val="32"/>
        </w:rPr>
      </w:pPr>
      <w:r>
        <w:rPr>
          <w:rFonts w:hint="eastAsia" w:ascii="仿宋" w:hAnsi="仿宋" w:eastAsia="仿宋" w:cs="仿宋"/>
          <w:color w:val="000000"/>
          <w:sz w:val="32"/>
          <w:szCs w:val="32"/>
        </w:rPr>
        <w:t>（一）部门财政资金收入情况。</w:t>
      </w:r>
    </w:p>
    <w:p>
      <w:pPr>
        <w:widowControl/>
        <w:adjustRightInd w:val="0"/>
        <w:snapToGrid w:val="0"/>
        <w:spacing w:line="590" w:lineRule="exact"/>
        <w:ind w:firstLine="640" w:firstLineChars="200"/>
        <w:contextualSpacing/>
        <w:jc w:val="left"/>
        <w:rPr>
          <w:rFonts w:ascii="仿宋" w:hAnsi="仿宋" w:eastAsia="仿宋" w:cs="仿宋"/>
          <w:color w:val="000000"/>
          <w:sz w:val="32"/>
          <w:szCs w:val="32"/>
        </w:rPr>
      </w:pPr>
      <w:r>
        <w:rPr>
          <w:rFonts w:hint="eastAsia" w:ascii="仿宋" w:hAnsi="仿宋" w:eastAsia="仿宋" w:cs="仿宋"/>
          <w:color w:val="000000"/>
          <w:sz w:val="32"/>
          <w:szCs w:val="32"/>
        </w:rPr>
        <w:t>2022年度收入总计1205.5万元，其中：公共财政拨款1094.86万元，政府性基金拨款110.64万元。</w:t>
      </w:r>
    </w:p>
    <w:p>
      <w:pPr>
        <w:widowControl/>
        <w:adjustRightInd w:val="0"/>
        <w:snapToGrid w:val="0"/>
        <w:spacing w:line="590" w:lineRule="exact"/>
        <w:ind w:firstLine="640" w:firstLineChars="200"/>
        <w:contextualSpacing/>
        <w:jc w:val="left"/>
        <w:rPr>
          <w:rFonts w:ascii="仿宋" w:hAnsi="仿宋" w:eastAsia="仿宋" w:cs="仿宋"/>
          <w:color w:val="000000"/>
          <w:sz w:val="32"/>
          <w:szCs w:val="32"/>
        </w:rPr>
      </w:pPr>
      <w:r>
        <w:rPr>
          <w:rFonts w:hint="eastAsia" w:ascii="仿宋" w:hAnsi="仿宋" w:eastAsia="仿宋" w:cs="仿宋"/>
          <w:color w:val="000000"/>
          <w:sz w:val="32"/>
          <w:szCs w:val="32"/>
        </w:rPr>
        <w:t>（二）部门财政资金支出情况</w:t>
      </w:r>
    </w:p>
    <w:p>
      <w:pPr>
        <w:widowControl/>
        <w:adjustRightInd w:val="0"/>
        <w:snapToGrid w:val="0"/>
        <w:spacing w:line="590" w:lineRule="exact"/>
        <w:ind w:firstLine="640" w:firstLineChars="200"/>
        <w:contextualSpacing/>
        <w:jc w:val="left"/>
        <w:rPr>
          <w:rFonts w:ascii="仿宋" w:hAnsi="仿宋" w:eastAsia="仿宋" w:cs="仿宋"/>
          <w:color w:val="000000"/>
          <w:sz w:val="32"/>
          <w:szCs w:val="32"/>
        </w:rPr>
      </w:pPr>
      <w:r>
        <w:rPr>
          <w:rFonts w:hint="eastAsia" w:ascii="仿宋" w:hAnsi="仿宋" w:eastAsia="仿宋" w:cs="仿宋"/>
          <w:color w:val="000000"/>
          <w:sz w:val="32"/>
          <w:szCs w:val="32"/>
        </w:rPr>
        <w:t>2022年公共预算财政拨款支出1094.86万元，政府性基金拨款110.64万元，其中：基本支出271.4万元，占22.5%；系保障我会各项支出，包括用于办公等日常公用经费，明细为工资福利支出241.44万元，一般商品和服务支出29.96万元，项目支出823.46万元，占79.3%。</w:t>
      </w:r>
    </w:p>
    <w:p>
      <w:pPr>
        <w:pStyle w:val="2"/>
        <w:spacing w:beforeLines="0" w:line="590" w:lineRule="exact"/>
        <w:ind w:firstLine="640" w:firstLineChars="200"/>
        <w:jc w:val="left"/>
        <w:rPr>
          <w:rFonts w:ascii="仿宋" w:hAnsi="仿宋" w:eastAsia="仿宋" w:cs="仿宋"/>
          <w:color w:val="000000"/>
          <w:kern w:val="2"/>
          <w:sz w:val="32"/>
          <w:szCs w:val="32"/>
        </w:rPr>
      </w:pPr>
      <w:r>
        <w:rPr>
          <w:rFonts w:hint="eastAsia" w:ascii="仿宋" w:hAnsi="仿宋" w:eastAsia="仿宋" w:cs="仿宋"/>
          <w:color w:val="000000"/>
          <w:kern w:val="2"/>
          <w:sz w:val="32"/>
          <w:szCs w:val="32"/>
        </w:rPr>
        <w:t>1、工资福利支出：248.44万元。</w:t>
      </w:r>
    </w:p>
    <w:p>
      <w:pPr>
        <w:pStyle w:val="2"/>
        <w:spacing w:beforeLines="0" w:line="590" w:lineRule="exact"/>
        <w:ind w:firstLine="640" w:firstLineChars="200"/>
        <w:jc w:val="left"/>
        <w:rPr>
          <w:rFonts w:ascii="仿宋" w:hAnsi="仿宋" w:eastAsia="仿宋" w:cs="仿宋"/>
          <w:color w:val="000000"/>
          <w:kern w:val="2"/>
          <w:sz w:val="32"/>
          <w:szCs w:val="32"/>
        </w:rPr>
      </w:pPr>
      <w:r>
        <w:rPr>
          <w:rFonts w:hint="eastAsia" w:ascii="仿宋" w:hAnsi="仿宋" w:eastAsia="仿宋" w:cs="仿宋"/>
          <w:color w:val="000000"/>
          <w:kern w:val="2"/>
          <w:sz w:val="32"/>
          <w:szCs w:val="32"/>
        </w:rPr>
        <w:t>基本工资津补贴支出219.9万元，养老保险支出12.62万元，医疗保险支出6.13万元，住房公积金支出9.79万元。</w:t>
      </w:r>
    </w:p>
    <w:p>
      <w:pPr>
        <w:pStyle w:val="2"/>
        <w:spacing w:beforeLines="0" w:line="590" w:lineRule="exact"/>
        <w:ind w:firstLine="640" w:firstLineChars="200"/>
        <w:jc w:val="left"/>
        <w:rPr>
          <w:rFonts w:ascii="仿宋" w:hAnsi="仿宋" w:eastAsia="仿宋" w:cs="仿宋"/>
          <w:color w:val="000000"/>
          <w:kern w:val="2"/>
          <w:sz w:val="32"/>
          <w:szCs w:val="32"/>
        </w:rPr>
      </w:pPr>
      <w:r>
        <w:rPr>
          <w:rFonts w:hint="eastAsia" w:ascii="仿宋" w:hAnsi="仿宋" w:eastAsia="仿宋" w:cs="仿宋"/>
          <w:color w:val="000000"/>
          <w:kern w:val="2"/>
          <w:sz w:val="32"/>
          <w:szCs w:val="32"/>
        </w:rPr>
        <w:t>2、一般商品和服务支出：22.96万元。</w:t>
      </w:r>
    </w:p>
    <w:p>
      <w:pPr>
        <w:pStyle w:val="2"/>
        <w:spacing w:beforeLines="0" w:line="590" w:lineRule="exact"/>
        <w:ind w:firstLine="640" w:firstLineChars="200"/>
        <w:jc w:val="left"/>
        <w:rPr>
          <w:rFonts w:ascii="仿宋" w:hAnsi="仿宋" w:eastAsia="仿宋" w:cs="仿宋"/>
          <w:color w:val="000000"/>
          <w:kern w:val="2"/>
          <w:sz w:val="32"/>
          <w:szCs w:val="32"/>
        </w:rPr>
      </w:pPr>
      <w:r>
        <w:rPr>
          <w:rFonts w:hint="eastAsia" w:ascii="仿宋" w:hAnsi="仿宋" w:eastAsia="仿宋" w:cs="仿宋"/>
          <w:color w:val="000000"/>
          <w:kern w:val="2"/>
          <w:sz w:val="32"/>
          <w:szCs w:val="32"/>
        </w:rPr>
        <w:t>办公费11.1万元，维护费0.36万元，印刷费0.11万元，水费0.11万元，电费0.23万元，邮电费0.13万元，差旅费5.5万元，公务接待费0.21万元，公务用车运行维护费1.37万元，其他商品和服务支出1.07万元，劳务费3.61万元，其他交通费用6.16万元。</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color w:val="000000"/>
          <w:sz w:val="32"/>
          <w:szCs w:val="32"/>
        </w:rPr>
        <w:t>3、项目支出823.46万元，其中一般公共预算财政拨款支</w:t>
      </w:r>
      <w:r>
        <w:rPr>
          <w:rFonts w:hint="eastAsia" w:ascii="仿宋" w:hAnsi="仿宋" w:eastAsia="仿宋" w:cs="仿宋"/>
          <w:sz w:val="32"/>
          <w:szCs w:val="32"/>
        </w:rPr>
        <w:t>出712.82万元，政府性基金拨款支出110.64万元。</w:t>
      </w:r>
    </w:p>
    <w:p>
      <w:pPr>
        <w:spacing w:line="590" w:lineRule="exact"/>
        <w:ind w:firstLine="640" w:firstLineChars="200"/>
        <w:jc w:val="left"/>
        <w:outlineLvl w:val="2"/>
        <w:rPr>
          <w:rFonts w:ascii="仿宋" w:hAnsi="仿宋" w:eastAsia="仿宋" w:cs="仿宋"/>
          <w:sz w:val="32"/>
          <w:szCs w:val="32"/>
        </w:rPr>
      </w:pPr>
      <w:bookmarkStart w:id="190" w:name="_Toc1693"/>
      <w:bookmarkStart w:id="191" w:name="_Toc10124"/>
      <w:bookmarkStart w:id="192" w:name="_Toc10097"/>
      <w:r>
        <w:rPr>
          <w:rFonts w:hint="eastAsia" w:ascii="黑体" w:hAnsi="黑体" w:eastAsia="黑体" w:cs="黑体"/>
          <w:sz w:val="32"/>
          <w:szCs w:val="32"/>
        </w:rPr>
        <w:t>三、部门整体绩效</w:t>
      </w:r>
      <w:bookmarkEnd w:id="190"/>
      <w:bookmarkEnd w:id="191"/>
      <w:bookmarkEnd w:id="192"/>
      <w:r>
        <w:rPr>
          <w:rFonts w:hint="eastAsia" w:ascii="黑体" w:hAnsi="黑体" w:eastAsia="黑体" w:cs="黑体"/>
          <w:sz w:val="32"/>
          <w:szCs w:val="32"/>
        </w:rPr>
        <w:t>分析</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（一）部门预算项目绩效分析。</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1、县残联2022年度收入支出预算安排情况。</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县残联2022年初预算1225.1万元，年度调整减少预算0.1万元，调整的原因是上级资金减少。</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2、县残联2022年度收入支出预算执行情况</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收入总计1205.5万元，包括：财政拨款收入1094.86万元；政府性基金拨款110.64万元。支出总计1205.5万元,包括：财政拨款支出1094.86万元，政府性基金拨款支出110.64万元。其中财政拨款支出1094.86万元，主要用于在职人员基本工资、津贴补贴、办公费、印刷费、水电费等日常公用经费、残疾人实用技术培训、残疾人就业直补、残疾儿童康复、免费发放残疾人辅助器具、残疾人托养。政府性基金财政拨款支出110.64万元，主要用于残疾人儿童康复。</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与2021年相比，收入增加287.44万元，增加23%。主要变动原因是残疾民生任务增加;支出增加287.44万元，增加23%。</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2022年本年收入合计1205.5万元，其中：一般公共预算财政拨款收入1094.86万，占91%；政府性基金预算财政拨款收入110.64万元，占9%；</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2022年残联本年支出合计1205.5万元，其中：基本支出271.4万元，占22.5%；项目支出934.1万元，占77.5%。</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3、县残联2022年度“三公”经费财政拨款支出预算为3.41万元，支出决算为1.58万元。其中：其中：公务用车运行维护费1.37万元；公务接待费0.21万元。比去年减少了0.28万元。国内公务接待3批次，国内公务接待20人次，与年初预算0.91万元相比，减少了0.7万元。2022年度“三公”经费小于预算数的主要原因：一是认真贯彻落实中央八项规定精神和省委九项规定精神；二是严格执行量入为出，厉行节约的原则；三是进一步从严控制“三公”经费开支，始终坚持做到保基本支出、保民生支出，把有限资金用在刀刃上，全年实际支出比预算有所节约。</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（二）部门整体履职绩效分析。</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1、残疾人康复工作：为170名残疾儿童进行康康复训练及手术。为520名残疾人免费发放辅具，为500名精神残疾人提供免费服药。</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2、残疾人教育扶贫工作：一是根据省市残联文件精神，为420名残疾人提供就业直补，为300名残疾人提供使用技术培训，306名精神残疾人提供托养服务，为144户残疾人实施无障碍改造，为111人精神、智力残疾人发放办证补贴。</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（三）结果应用情况</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综合评价情况岳池县残联2022年残疾人专项资金，能按要求分配项目资金，对项目单位起到了一定的管理作用和监督作用。做到专款专用，审批程序基本规范。</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（四）自评质量。</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从预算管理、资金使用管理、项目组织管理和项目绩效情况等方面进行评价，该项目综合评分为87分，评价等级为B类。</w:t>
      </w:r>
    </w:p>
    <w:p>
      <w:pPr>
        <w:spacing w:line="590" w:lineRule="exact"/>
        <w:ind w:firstLine="640" w:firstLineChars="200"/>
        <w:jc w:val="left"/>
        <w:outlineLvl w:val="2"/>
        <w:rPr>
          <w:rFonts w:ascii="仿宋" w:hAnsi="仿宋" w:eastAsia="仿宋" w:cs="仿宋"/>
          <w:sz w:val="32"/>
          <w:szCs w:val="32"/>
        </w:rPr>
      </w:pPr>
      <w:bookmarkStart w:id="193" w:name="_Toc28277"/>
      <w:bookmarkStart w:id="194" w:name="_Toc16312"/>
      <w:bookmarkStart w:id="195" w:name="_Toc2053"/>
      <w:r>
        <w:rPr>
          <w:rFonts w:hint="eastAsia" w:ascii="黑体" w:hAnsi="黑体" w:eastAsia="黑体" w:cs="黑体"/>
          <w:sz w:val="32"/>
          <w:szCs w:val="32"/>
        </w:rPr>
        <w:t>四、评价结论及建议</w:t>
      </w:r>
      <w:bookmarkEnd w:id="193"/>
      <w:bookmarkEnd w:id="194"/>
      <w:bookmarkEnd w:id="195"/>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（一）评价结论</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制度健全。建立了资金的内控、会计核算、财务管理制度等一系列管理制度，加强了资金内部管理和监督，从而从制度上构筑起保障资金安全使用的防线。使用规范。我会本着管理科学、简便易行、相互制约的原则，不断完善操作程序，明确了审批权限，严格审批程序，坚持资金拨付公示制度，由县残联按规定受理、初审，我会和县财政局对每项资金进行审核、审批，各环节既独立操作，又相互衔接、相互制约，确保资金管理严格，运行有序。专款专用。实行专户管理、专账核算，严格执行“收支两条线”。</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（二）存在的问题</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年中追加经费多，导致预算控制率较低。其原因2022年省残联下拨康复经费、贫困残疾人家庭无障碍设施改造，残疾人托养等专项资金未能纳入我会年初预算。下一步需整合各个方面切块资金，争取纳入我会年初预算范畴。</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（三）改进及建议</w:t>
      </w:r>
    </w:p>
    <w:p>
      <w:pPr>
        <w:spacing w:line="590" w:lineRule="exact"/>
        <w:ind w:firstLine="640" w:firstLineChars="200"/>
        <w:jc w:val="left"/>
        <w:outlineLvl w:val="2"/>
        <w:rPr>
          <w:rFonts w:ascii="仿宋" w:hAnsi="仿宋" w:eastAsia="仿宋" w:cs="仿宋"/>
          <w:sz w:val="32"/>
          <w:szCs w:val="32"/>
        </w:rPr>
      </w:pPr>
      <w:r>
        <w:rPr>
          <w:rFonts w:hint="eastAsia" w:ascii="仿宋" w:hAnsi="仿宋" w:eastAsia="仿宋" w:cs="仿宋"/>
          <w:sz w:val="32"/>
          <w:szCs w:val="32"/>
        </w:rPr>
        <w:t>加强政策学习，提高思想认识。组织单位人员认真学习《</w:t>
      </w:r>
      <w:r>
        <w:rPr>
          <w:rFonts w:hint="eastAsia" w:ascii="仿宋" w:hAnsi="仿宋" w:eastAsia="仿宋" w:cs="仿宋"/>
          <w:sz w:val="32"/>
          <w:szCs w:val="32"/>
          <w:lang w:eastAsia="zh-CN"/>
        </w:rPr>
        <w:t>中华人民共和国</w:t>
      </w:r>
      <w:r>
        <w:rPr>
          <w:rFonts w:hint="eastAsia" w:ascii="仿宋" w:hAnsi="仿宋" w:eastAsia="仿宋" w:cs="仿宋"/>
          <w:sz w:val="32"/>
          <w:szCs w:val="32"/>
        </w:rPr>
        <w:t>预算法》等相关法规、制度，提高单位领导对全面预算管理的重视程度，增强财务人员的预算意识，坚持先有预算、后有支出，没有预算不得支出的支出理念。建议细化预算指标，提高预算科学性。预算编制前根据年度内单位可预见的工作任务，确定单位年度预算目标，细化预算指标，科学合理编制部门预算，推进预算编制科学化、准确化。</w:t>
      </w:r>
    </w:p>
    <w:bookmarkEnd w:id="189"/>
    <w:p>
      <w:pPr>
        <w:adjustRightInd w:val="0"/>
        <w:snapToGrid w:val="0"/>
        <w:spacing w:line="600" w:lineRule="exact"/>
        <w:outlineLvl w:val="1"/>
        <w:rPr>
          <w:rFonts w:ascii="黑体" w:hAnsi="黑体" w:eastAsia="黑体" w:cs="黑体"/>
          <w:sz w:val="32"/>
          <w:szCs w:val="32"/>
        </w:rPr>
      </w:pPr>
      <w:bookmarkStart w:id="196" w:name="_Toc2142"/>
      <w:bookmarkStart w:id="197" w:name="_Toc19771"/>
    </w:p>
    <w:p>
      <w:pPr>
        <w:widowControl/>
        <w:jc w:val="left"/>
        <w:rPr>
          <w:rFonts w:ascii="黑体" w:hAnsi="黑体" w:eastAsia="黑体" w:cs="黑体"/>
          <w:sz w:val="32"/>
          <w:szCs w:val="32"/>
        </w:rPr>
      </w:pPr>
      <w:r>
        <w:rPr>
          <w:rFonts w:ascii="黑体" w:hAnsi="黑体" w:eastAsia="黑体" w:cs="黑体"/>
          <w:sz w:val="32"/>
          <w:szCs w:val="32"/>
        </w:rPr>
        <w:br w:type="page"/>
      </w:r>
    </w:p>
    <w:p>
      <w:pPr>
        <w:adjustRightInd w:val="0"/>
        <w:snapToGrid w:val="0"/>
        <w:spacing w:line="600" w:lineRule="exact"/>
        <w:outlineLvl w:val="1"/>
        <w:rPr>
          <w:rFonts w:ascii="黑体" w:hAnsi="黑体" w:eastAsia="黑体" w:cs="黑体"/>
          <w:sz w:val="32"/>
          <w:szCs w:val="32"/>
        </w:rPr>
      </w:pPr>
      <w:r>
        <w:rPr>
          <w:rFonts w:hint="eastAsia" w:ascii="黑体" w:hAnsi="黑体" w:eastAsia="黑体" w:cs="黑体"/>
          <w:sz w:val="32"/>
          <w:szCs w:val="32"/>
        </w:rPr>
        <w:t>附件2</w:t>
      </w:r>
    </w:p>
    <w:p>
      <w:pPr>
        <w:spacing w:line="60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rPr>
        <w:t>2022年残疾残疾人事业发展</w:t>
      </w:r>
      <w:r>
        <w:rPr>
          <w:rFonts w:hint="eastAsia" w:ascii="方正小标宋简体" w:hAnsi="方正小标宋简体" w:eastAsia="方正小标宋简体" w:cs="方正小标宋简体"/>
          <w:sz w:val="44"/>
          <w:szCs w:val="44"/>
          <w:lang w:val="zh-CN"/>
        </w:rPr>
        <w:t>项目</w:t>
      </w:r>
    </w:p>
    <w:p>
      <w:pPr>
        <w:spacing w:line="60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支出绩效自评报告</w:t>
      </w:r>
    </w:p>
    <w:p>
      <w:pPr>
        <w:adjustRightInd w:val="0"/>
        <w:snapToGrid w:val="0"/>
        <w:spacing w:line="600" w:lineRule="exact"/>
        <w:rPr>
          <w:color w:val="0000FF"/>
          <w:sz w:val="44"/>
          <w:szCs w:val="44"/>
        </w:rPr>
      </w:pPr>
    </w:p>
    <w:p>
      <w:pPr>
        <w:adjustRightInd w:val="0"/>
        <w:snapToGrid w:val="0"/>
        <w:spacing w:line="600" w:lineRule="exact"/>
        <w:ind w:firstLine="720"/>
        <w:outlineLvl w:val="1"/>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（一）项目基本情况</w:t>
      </w:r>
    </w:p>
    <w:p>
      <w:pPr>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为符合条件的0-14岁残疾儿童提供人工耳蜗及助听器验配、肢体矫治手术、功能训练等基本康复服务，改善残疾儿童功能状况不断提高残疾儿童生活自理能力，增强社会参与；为早期干预试点地区有需求的小龄听力、肢体等残疾儿童提供亲子同训、家长培训等以家庭为中心的早期干预康复服务，改善残疾儿童功能状况，不断提高残疾儿童生活自理能力，增强社会参与；对困难重度残疾人家庭实施无障碍环境建设，改善残疾人生活条件，提高自理能力；购置一批康复设备，提高基本康复水平；为困难精神残疾人提供门诊服药补贴；通过“阳光家园计划”项目年度工作的实施，帮助残疾人得到托养照料；为残疾人提供实用技术培训，掌握1-2门实用技术；为困难残疾人免费提供辅具；支持贫困残疾人居家灵活就业。</w:t>
      </w:r>
    </w:p>
    <w:p>
      <w:pPr>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2、该项目是执行</w:t>
      </w:r>
      <w:r>
        <w:rPr>
          <w:rFonts w:hint="eastAsia" w:eastAsia="方正仿宋_GBK"/>
          <w:color w:val="000000"/>
          <w:sz w:val="33"/>
          <w:szCs w:val="33"/>
        </w:rPr>
        <w:t>《四川省财政厅关于提前下达</w:t>
      </w:r>
      <w:r>
        <w:rPr>
          <w:rFonts w:eastAsia="方正仿宋_GBK"/>
          <w:color w:val="000000"/>
          <w:sz w:val="33"/>
          <w:szCs w:val="33"/>
        </w:rPr>
        <w:t>202</w:t>
      </w:r>
      <w:r>
        <w:rPr>
          <w:rFonts w:hint="eastAsia" w:eastAsia="方正仿宋_GBK"/>
          <w:color w:val="000000"/>
          <w:sz w:val="33"/>
          <w:szCs w:val="33"/>
        </w:rPr>
        <w:t>3年中央和省级财政残疾人事业发展补助资金的通知》（川财社〔</w:t>
      </w:r>
      <w:r>
        <w:rPr>
          <w:rFonts w:eastAsia="方正仿宋_GBK"/>
          <w:color w:val="000000"/>
          <w:sz w:val="33"/>
          <w:szCs w:val="33"/>
        </w:rPr>
        <w:t>202</w:t>
      </w:r>
      <w:r>
        <w:rPr>
          <w:rFonts w:hint="eastAsia" w:eastAsia="方正仿宋_GBK"/>
          <w:color w:val="000000"/>
          <w:sz w:val="33"/>
          <w:szCs w:val="33"/>
        </w:rPr>
        <w:t>2〕166号）、《财政厅关于下达</w:t>
      </w:r>
      <w:r>
        <w:rPr>
          <w:rFonts w:eastAsia="方正仿宋_GBK"/>
          <w:color w:val="000000"/>
          <w:sz w:val="33"/>
          <w:szCs w:val="33"/>
        </w:rPr>
        <w:t>2023</w:t>
      </w:r>
      <w:r>
        <w:rPr>
          <w:rFonts w:hint="eastAsia" w:eastAsia="方正仿宋_GBK"/>
          <w:color w:val="000000"/>
          <w:sz w:val="33"/>
          <w:szCs w:val="33"/>
        </w:rPr>
        <w:t>年中央和省级财政残疾人事业发展补助资金的通知》（川财社〔</w:t>
      </w:r>
      <w:r>
        <w:rPr>
          <w:rFonts w:eastAsia="方正仿宋_GBK"/>
          <w:color w:val="000000"/>
          <w:sz w:val="33"/>
          <w:szCs w:val="33"/>
        </w:rPr>
        <w:t>2023</w:t>
      </w:r>
      <w:r>
        <w:rPr>
          <w:rFonts w:hint="eastAsia" w:eastAsia="方正仿宋_GBK"/>
          <w:color w:val="000000"/>
          <w:sz w:val="33"/>
          <w:szCs w:val="33"/>
        </w:rPr>
        <w:t>〕29号）、《四川省残疾人联合会关于做好2023年中央和省级财政残疾人事业发展补助资金财务管理工作的通知》（川残办〔</w:t>
      </w:r>
      <w:r>
        <w:rPr>
          <w:rFonts w:eastAsia="方正仿宋_GBK"/>
          <w:color w:val="000000"/>
          <w:sz w:val="33"/>
          <w:szCs w:val="33"/>
        </w:rPr>
        <w:t>2023</w:t>
      </w:r>
      <w:r>
        <w:rPr>
          <w:rFonts w:hint="eastAsia" w:eastAsia="方正仿宋_GBK"/>
          <w:color w:val="000000"/>
          <w:sz w:val="33"/>
          <w:szCs w:val="33"/>
        </w:rPr>
        <w:t>〕7号）、《四川省残疾人联合会关于分配2023年省级财政残疾人事业发展补助资金的通知》、《广安市财政局关于下达2023年省级财政残疾人事业发展补助资金的通知》、《广安市残疾人联合会关于下达2023年残疾人工作任务的通知》等文件精神，</w:t>
      </w:r>
      <w:r>
        <w:rPr>
          <w:rFonts w:hint="eastAsia" w:ascii="仿宋" w:hAnsi="仿宋" w:eastAsia="仿宋" w:cs="仿宋"/>
          <w:color w:val="333333"/>
          <w:sz w:val="32"/>
          <w:szCs w:val="32"/>
          <w:shd w:val="clear" w:color="auto" w:fill="FFFFFF"/>
        </w:rPr>
        <w:t>由县残联具体负责落实。</w:t>
      </w:r>
    </w:p>
    <w:p>
      <w:p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（二）项目绩效目标</w:t>
      </w:r>
    </w:p>
    <w:p>
      <w:pPr>
        <w:ind w:firstLine="660" w:firstLineChars="200"/>
        <w:rPr>
          <w:rFonts w:ascii="仿宋" w:hAnsi="仿宋" w:eastAsia="仿宋" w:cs="仿宋"/>
          <w:color w:val="333333"/>
          <w:sz w:val="32"/>
          <w:szCs w:val="32"/>
          <w:shd w:val="clear" w:color="auto" w:fill="FFFFFF"/>
        </w:rPr>
      </w:pPr>
      <w:r>
        <w:rPr>
          <w:rFonts w:hint="eastAsia" w:eastAsia="方正仿宋_GBK"/>
          <w:color w:val="000000"/>
          <w:sz w:val="33"/>
          <w:szCs w:val="33"/>
        </w:rPr>
        <w:t>为符合条件的0-14岁135名残疾儿童进行基本康复救助；为144户困难重度家庭进行残疾人无障碍改造；</w:t>
      </w:r>
      <w:r>
        <w:rPr>
          <w:rFonts w:hint="eastAsia" w:eastAsia="方正仿宋_GBK"/>
          <w:sz w:val="33"/>
          <w:szCs w:val="33"/>
        </w:rPr>
        <w:t>购置一批康复设备配备到康复机构，</w:t>
      </w:r>
      <w:r>
        <w:rPr>
          <w:rFonts w:hint="eastAsia" w:eastAsia="方正仿宋_GBK"/>
          <w:color w:val="000000"/>
          <w:sz w:val="33"/>
          <w:szCs w:val="33"/>
        </w:rPr>
        <w:t>提高康复水平；对符合条件的500名精神残疾人门诊服药进行补贴；</w:t>
      </w:r>
      <w:r>
        <w:rPr>
          <w:rFonts w:hint="eastAsia" w:ascii="仿宋" w:hAnsi="仿宋" w:eastAsia="仿宋" w:cs="仿宋"/>
          <w:color w:val="333333"/>
          <w:sz w:val="32"/>
          <w:szCs w:val="32"/>
          <w:shd w:val="clear" w:color="auto" w:fill="FFFFFF"/>
        </w:rPr>
        <w:t>实施“阳光家园计划”，对300名残疾人提供生活照料和护理；为300名残疾人提供农村实用技术培训，掌握1-2门实用技术；为520名困难残疾人免费提供辅具；支持430名贫困残疾人居家灵活就业。</w:t>
      </w:r>
    </w:p>
    <w:p>
      <w:p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（三）项目自评步骤及方法</w:t>
      </w:r>
    </w:p>
    <w:p>
      <w:pPr>
        <w:adjustRightInd w:val="0"/>
        <w:snapToGrid w:val="0"/>
        <w:spacing w:line="600" w:lineRule="exact"/>
        <w:ind w:firstLine="72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1、绩效评价目的、对象和范围。</w:t>
      </w:r>
    </w:p>
    <w:p>
      <w:pPr>
        <w:adjustRightInd w:val="0"/>
        <w:snapToGrid w:val="0"/>
        <w:spacing w:line="600" w:lineRule="exact"/>
        <w:ind w:firstLine="72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县残联及涉及乡镇（街道）通过残疾人事业发展资金使用绩效评价，对受益人进行调查，更好的总结分析资金执行状况，为下一步工作提供依据。</w:t>
      </w:r>
    </w:p>
    <w:p>
      <w:pPr>
        <w:adjustRightInd w:val="0"/>
        <w:snapToGrid w:val="0"/>
        <w:spacing w:line="600" w:lineRule="exact"/>
        <w:ind w:firstLine="72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2、评价方法。</w:t>
      </w:r>
    </w:p>
    <w:p>
      <w:pPr>
        <w:adjustRightInd w:val="0"/>
        <w:snapToGrid w:val="0"/>
        <w:spacing w:line="600" w:lineRule="exact"/>
        <w:ind w:firstLine="72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县残联及涉及乡镇（街道）对2022年残疾人事业发展实施进行随机抽查。按照抽查率不少于30%的要求，通过电话、实地走访等方式进行回访，进行绩效评价。</w:t>
      </w:r>
    </w:p>
    <w:p>
      <w:pPr>
        <w:adjustRightInd w:val="0"/>
        <w:snapToGrid w:val="0"/>
        <w:spacing w:line="600" w:lineRule="exact"/>
        <w:ind w:firstLine="72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3、绩效评价工作过程。</w:t>
      </w:r>
    </w:p>
    <w:p>
      <w:pPr>
        <w:adjustRightInd w:val="0"/>
        <w:snapToGrid w:val="0"/>
        <w:spacing w:line="600" w:lineRule="exact"/>
        <w:ind w:firstLine="72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县残联及涉及乡镇（街道）安排专人，梳理2022年残疾人事业发展实施情况，按不低于30%随机抽样，采取电话、实地走访等方式，调查了解实施的质量、作用发挥、对象满意度和意见建议。</w:t>
      </w:r>
    </w:p>
    <w:p>
      <w:pPr>
        <w:adjustRightInd w:val="0"/>
        <w:snapToGrid w:val="0"/>
        <w:spacing w:line="600" w:lineRule="exact"/>
        <w:ind w:firstLine="720"/>
        <w:outlineLvl w:val="1"/>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（一）项目资金申报及批复情况</w:t>
      </w:r>
    </w:p>
    <w:p>
      <w:pPr>
        <w:ind w:firstLine="620" w:firstLineChars="200"/>
        <w:rPr>
          <w:rFonts w:ascii="仿宋" w:hAnsi="仿宋" w:eastAsia="仿宋" w:cs="仿宋"/>
          <w:color w:val="333333"/>
          <w:sz w:val="31"/>
          <w:szCs w:val="31"/>
          <w:shd w:val="clear" w:color="auto" w:fill="FFFFFF"/>
          <w:lang w:val="zh-CN"/>
        </w:rPr>
      </w:pPr>
      <w:r>
        <w:rPr>
          <w:rFonts w:hint="eastAsia" w:ascii="仿宋" w:hAnsi="仿宋" w:eastAsia="仿宋" w:cs="仿宋"/>
          <w:color w:val="333333"/>
          <w:sz w:val="31"/>
          <w:szCs w:val="31"/>
          <w:shd w:val="clear" w:color="auto" w:fill="FFFFFF"/>
        </w:rPr>
        <w:t>中省市财政下达批复资金497.92万元</w:t>
      </w:r>
      <w:r>
        <w:rPr>
          <w:rFonts w:hint="eastAsia" w:ascii="仿宋" w:hAnsi="仿宋" w:eastAsia="仿宋" w:cs="仿宋"/>
          <w:color w:val="333333"/>
          <w:sz w:val="31"/>
          <w:szCs w:val="31"/>
          <w:shd w:val="clear" w:color="auto" w:fill="FFFFFF"/>
          <w:lang w:val="zh-CN"/>
        </w:rPr>
        <w:t>。</w:t>
      </w:r>
    </w:p>
    <w:p>
      <w:pPr>
        <w:adjustRightInd w:val="0"/>
        <w:snapToGrid w:val="0"/>
        <w:spacing w:line="600" w:lineRule="exact"/>
        <w:ind w:firstLine="720"/>
        <w:outlineLvl w:val="2"/>
        <w:rPr>
          <w:rFonts w:ascii="楷体" w:hAnsi="楷体" w:eastAsia="楷体" w:cs="楷体"/>
          <w:sz w:val="32"/>
          <w:szCs w:val="32"/>
          <w:lang w:val="zh-CN"/>
        </w:rPr>
      </w:pPr>
      <w:r>
        <w:rPr>
          <w:rFonts w:hint="eastAsia" w:ascii="楷体" w:hAnsi="楷体" w:eastAsia="楷体" w:cs="楷体"/>
          <w:b/>
          <w:sz w:val="32"/>
          <w:szCs w:val="32"/>
          <w:lang w:val="zh-CN"/>
        </w:rPr>
        <w:t>（二）资金计划、到位及使用情况</w:t>
      </w:r>
    </w:p>
    <w:p>
      <w:pPr>
        <w:adjustRightInd w:val="0"/>
        <w:snapToGrid w:val="0"/>
        <w:spacing w:line="600" w:lineRule="exact"/>
        <w:ind w:firstLine="720"/>
        <w:rPr>
          <w:rFonts w:ascii="仿宋" w:hAnsi="仿宋" w:eastAsia="仿宋" w:cs="仿宋"/>
          <w:color w:val="333333"/>
          <w:sz w:val="32"/>
          <w:szCs w:val="32"/>
          <w:shd w:val="clear" w:color="auto" w:fill="FFFFFF"/>
          <w:lang w:val="zh-CN"/>
        </w:rPr>
      </w:pPr>
      <w:r>
        <w:rPr>
          <w:rFonts w:hint="eastAsia" w:ascii="仿宋" w:hAnsi="仿宋" w:eastAsia="仿宋" w:cs="仿宋"/>
          <w:sz w:val="32"/>
          <w:szCs w:val="32"/>
          <w:lang w:val="zh-CN"/>
        </w:rPr>
        <w:t>1、资金计划。残疾人事业发展资金年</w:t>
      </w:r>
      <w:r>
        <w:rPr>
          <w:rFonts w:hint="eastAsia" w:ascii="仿宋" w:hAnsi="仿宋" w:eastAsia="仿宋" w:cs="仿宋"/>
          <w:color w:val="333333"/>
          <w:sz w:val="32"/>
          <w:szCs w:val="32"/>
          <w:shd w:val="clear" w:color="auto" w:fill="FFFFFF"/>
        </w:rPr>
        <w:t>计划497.92万元</w:t>
      </w:r>
      <w:r>
        <w:rPr>
          <w:rFonts w:hint="eastAsia" w:ascii="仿宋" w:hAnsi="仿宋" w:eastAsia="仿宋" w:cs="仿宋"/>
          <w:color w:val="333333"/>
          <w:sz w:val="32"/>
          <w:szCs w:val="32"/>
          <w:shd w:val="clear" w:color="auto" w:fill="FFFFFF"/>
          <w:lang w:val="zh-CN"/>
        </w:rPr>
        <w:t>。</w:t>
      </w:r>
    </w:p>
    <w:p>
      <w:pPr>
        <w:adjustRightInd w:val="0"/>
        <w:snapToGrid w:val="0"/>
        <w:spacing w:line="600" w:lineRule="exact"/>
        <w:ind w:firstLine="720"/>
        <w:rPr>
          <w:rFonts w:ascii="仿宋" w:hAnsi="仿宋" w:eastAsia="仿宋" w:cs="仿宋"/>
          <w:color w:val="333333"/>
          <w:sz w:val="32"/>
          <w:szCs w:val="32"/>
          <w:shd w:val="clear" w:color="auto" w:fill="FFFFFF"/>
        </w:rPr>
      </w:pPr>
      <w:r>
        <w:rPr>
          <w:rFonts w:hint="eastAsia" w:ascii="仿宋" w:hAnsi="仿宋" w:eastAsia="仿宋" w:cs="仿宋"/>
          <w:sz w:val="32"/>
          <w:szCs w:val="32"/>
          <w:lang w:val="zh-CN"/>
        </w:rPr>
        <w:t>2、资金到位。</w:t>
      </w:r>
      <w:r>
        <w:rPr>
          <w:rFonts w:hint="eastAsia" w:ascii="仿宋" w:hAnsi="仿宋" w:eastAsia="仿宋" w:cs="仿宋"/>
          <w:color w:val="333333"/>
          <w:sz w:val="32"/>
          <w:szCs w:val="32"/>
          <w:shd w:val="clear" w:color="auto" w:fill="FFFFFF"/>
        </w:rPr>
        <w:t>截至12月31日</w:t>
      </w:r>
      <w:r>
        <w:rPr>
          <w:rFonts w:hint="eastAsia" w:ascii="仿宋" w:hAnsi="仿宋" w:eastAsia="仿宋" w:cs="仿宋"/>
          <w:sz w:val="32"/>
          <w:szCs w:val="32"/>
          <w:lang w:val="zh-CN"/>
        </w:rPr>
        <w:t>残疾人事业发展资金</w:t>
      </w:r>
      <w:r>
        <w:rPr>
          <w:rFonts w:hint="eastAsia" w:ascii="仿宋" w:hAnsi="仿宋" w:eastAsia="仿宋" w:cs="仿宋"/>
          <w:color w:val="333333"/>
          <w:sz w:val="32"/>
          <w:szCs w:val="32"/>
          <w:shd w:val="clear" w:color="auto" w:fill="FFFFFF"/>
        </w:rPr>
        <w:t>实际收入497.92万元，到位率100%。</w:t>
      </w:r>
    </w:p>
    <w:p>
      <w:pPr>
        <w:adjustRightInd w:val="0"/>
        <w:snapToGrid w:val="0"/>
        <w:spacing w:line="600" w:lineRule="exact"/>
        <w:ind w:firstLine="720"/>
        <w:rPr>
          <w:rFonts w:ascii="仿宋" w:hAnsi="仿宋" w:eastAsia="仿宋" w:cs="仿宋"/>
          <w:color w:val="333333"/>
          <w:sz w:val="31"/>
          <w:szCs w:val="31"/>
          <w:shd w:val="clear" w:color="auto" w:fill="FFFFFF"/>
        </w:rPr>
      </w:pPr>
      <w:r>
        <w:rPr>
          <w:rFonts w:hint="eastAsia" w:ascii="仿宋" w:hAnsi="仿宋" w:eastAsia="仿宋" w:cs="仿宋"/>
          <w:sz w:val="32"/>
          <w:szCs w:val="32"/>
          <w:lang w:val="zh-CN"/>
        </w:rPr>
        <w:t>3、资金使用。</w:t>
      </w:r>
      <w:r>
        <w:rPr>
          <w:rFonts w:hint="eastAsia" w:ascii="仿宋" w:hAnsi="仿宋" w:eastAsia="仿宋" w:cs="仿宋"/>
          <w:color w:val="333333"/>
          <w:sz w:val="32"/>
          <w:szCs w:val="32"/>
          <w:shd w:val="clear" w:color="auto" w:fill="FFFFFF"/>
        </w:rPr>
        <w:t>截至12月31日</w:t>
      </w:r>
      <w:r>
        <w:rPr>
          <w:rFonts w:hint="eastAsia" w:ascii="仿宋" w:hAnsi="仿宋" w:eastAsia="仿宋" w:cs="仿宋"/>
          <w:sz w:val="32"/>
          <w:szCs w:val="32"/>
          <w:lang w:val="zh-CN"/>
        </w:rPr>
        <w:t>残疾人事业发展资金</w:t>
      </w:r>
      <w:r>
        <w:rPr>
          <w:rFonts w:hint="eastAsia" w:ascii="仿宋" w:hAnsi="仿宋" w:eastAsia="仿宋" w:cs="仿宋"/>
          <w:color w:val="333333"/>
          <w:sz w:val="32"/>
          <w:szCs w:val="32"/>
          <w:shd w:val="clear" w:color="auto" w:fill="FFFFFF"/>
        </w:rPr>
        <w:t>实际支出497.92万元，支出率100%</w:t>
      </w:r>
      <w:r>
        <w:rPr>
          <w:rFonts w:hint="eastAsia" w:ascii="仿宋" w:hAnsi="仿宋" w:eastAsia="仿宋" w:cs="仿宋"/>
          <w:color w:val="333333"/>
          <w:sz w:val="31"/>
          <w:szCs w:val="31"/>
          <w:shd w:val="clear" w:color="auto" w:fill="FFFFFF"/>
        </w:rPr>
        <w:t>。</w:t>
      </w:r>
    </w:p>
    <w:p>
      <w:p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（三）项目财务管理情况</w:t>
      </w:r>
    </w:p>
    <w:p>
      <w:pPr>
        <w:adjustRightInd w:val="0"/>
        <w:snapToGrid w:val="0"/>
        <w:spacing w:line="600" w:lineRule="exact"/>
        <w:ind w:firstLine="72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严格按照中省市相关文件规定执行和遵守财经纪律制度，加强监督管理，认真审核把关，不截留不挪用，确保专款专用，让广大残疾人有更多的获得感、幸福感、安全感。</w:t>
      </w:r>
    </w:p>
    <w:p>
      <w:pPr>
        <w:adjustRightInd w:val="0"/>
        <w:snapToGrid w:val="0"/>
        <w:spacing w:line="600" w:lineRule="exact"/>
        <w:ind w:firstLine="720"/>
        <w:outlineLvl w:val="1"/>
        <w:rPr>
          <w:rFonts w:ascii="黑体" w:hAnsi="宋体" w:eastAsia="黑体"/>
          <w:sz w:val="32"/>
          <w:szCs w:val="32"/>
        </w:rPr>
      </w:pPr>
      <w:r>
        <w:rPr>
          <w:rFonts w:hint="eastAsia" w:ascii="黑体" w:hAnsi="宋体" w:eastAsia="黑体"/>
          <w:sz w:val="32"/>
          <w:szCs w:val="32"/>
        </w:rPr>
        <w:t>三、项目实施及管理情况</w:t>
      </w:r>
    </w:p>
    <w:p>
      <w:pPr>
        <w:ind w:firstLine="642" w:firstLineChars="200"/>
        <w:outlineLvl w:val="2"/>
        <w:rPr>
          <w:rFonts w:ascii="仿宋" w:hAnsi="仿宋" w:eastAsia="仿宋" w:cs="仿宋"/>
          <w:color w:val="000000"/>
          <w:kern w:val="0"/>
          <w:sz w:val="32"/>
          <w:szCs w:val="32"/>
        </w:rPr>
      </w:pPr>
      <w:r>
        <w:rPr>
          <w:rFonts w:hint="eastAsia" w:ascii="楷体" w:hAnsi="楷体" w:eastAsia="楷体" w:cs="楷体"/>
          <w:b/>
          <w:sz w:val="32"/>
          <w:szCs w:val="32"/>
          <w:lang w:val="zh-CN"/>
        </w:rPr>
        <w:t>（一）</w:t>
      </w:r>
      <w:r>
        <w:rPr>
          <w:rFonts w:hint="eastAsia" w:ascii="楷体" w:hAnsi="楷体" w:eastAsia="楷体" w:cs="楷体"/>
          <w:b/>
          <w:sz w:val="32"/>
          <w:szCs w:val="32"/>
        </w:rPr>
        <w:t>项目</w:t>
      </w:r>
      <w:r>
        <w:rPr>
          <w:rFonts w:hint="eastAsia" w:ascii="楷体" w:hAnsi="楷体" w:eastAsia="楷体" w:cs="楷体"/>
          <w:b/>
          <w:sz w:val="32"/>
          <w:szCs w:val="32"/>
          <w:lang w:val="zh-CN"/>
        </w:rPr>
        <w:t>实施流程。</w:t>
      </w:r>
      <w:r>
        <w:rPr>
          <w:rFonts w:hint="eastAsia" w:ascii="仿宋" w:hAnsi="仿宋" w:eastAsia="仿宋" w:cs="仿宋"/>
          <w:bCs/>
          <w:sz w:val="32"/>
          <w:szCs w:val="32"/>
          <w:lang w:val="zh-CN"/>
        </w:rPr>
        <w:t>加强宣传，坚持自愿原则，由残疾人本人或监护人提出</w:t>
      </w:r>
      <w:r>
        <w:rPr>
          <w:rFonts w:hint="eastAsia" w:ascii="仿宋" w:hAnsi="仿宋" w:eastAsia="仿宋" w:cs="仿宋"/>
          <w:color w:val="000000"/>
          <w:kern w:val="0"/>
          <w:sz w:val="32"/>
          <w:szCs w:val="32"/>
        </w:rPr>
        <w:t>申请，涉及乡镇（街道）残联进行初步审核，县残联进行审批，并在一定范围内进行公示，对公示无异议的严格按照政府采购、招投标法、专项资金管理等相关规定，确定实施方或直接补贴。项目实施完成，由县残联及涉及乡镇（街道）残联组织人员进行验收，对验收合格的适时拨付和发放。</w:t>
      </w:r>
    </w:p>
    <w:p>
      <w:pPr>
        <w:adjustRightInd w:val="0"/>
        <w:snapToGrid w:val="0"/>
        <w:spacing w:line="600" w:lineRule="exact"/>
        <w:ind w:firstLine="642" w:firstLineChars="200"/>
        <w:rPr>
          <w:rFonts w:ascii="仿宋_GB2312" w:eastAsia="仿宋_GB2312" w:cs="仿宋"/>
          <w:color w:val="000000"/>
          <w:kern w:val="0"/>
          <w:sz w:val="32"/>
          <w:szCs w:val="32"/>
          <w:lang w:val="zh-CN"/>
        </w:rPr>
      </w:pPr>
      <w:r>
        <w:rPr>
          <w:rFonts w:hint="eastAsia" w:ascii="楷体" w:hAnsi="楷体" w:eastAsia="楷体" w:cs="楷体"/>
          <w:b/>
          <w:sz w:val="32"/>
          <w:szCs w:val="32"/>
          <w:lang w:val="zh-CN"/>
        </w:rPr>
        <w:t>（二）项目管理情况。</w:t>
      </w:r>
      <w:r>
        <w:rPr>
          <w:rFonts w:hint="eastAsia" w:ascii="仿宋_GB2312" w:eastAsia="仿宋_GB2312" w:cs="仿宋"/>
          <w:color w:val="000000"/>
          <w:kern w:val="0"/>
          <w:sz w:val="32"/>
          <w:szCs w:val="32"/>
        </w:rPr>
        <w:t>县</w:t>
      </w:r>
      <w:r>
        <w:rPr>
          <w:rFonts w:hint="eastAsia" w:ascii="仿宋_GB2312" w:eastAsia="仿宋_GB2312" w:cs="仿宋"/>
          <w:color w:val="000000"/>
          <w:kern w:val="0"/>
          <w:sz w:val="32"/>
          <w:szCs w:val="32"/>
          <w:lang w:val="zh-CN"/>
        </w:rPr>
        <w:t>残联负责实施部署、统筹、协调、指导、监管、验收、资金拨付等工作。涉及乡镇（街道）做好统筹、协调、指导、监管、验收等属地责任。</w:t>
      </w:r>
      <w:r>
        <w:rPr>
          <w:rFonts w:hint="eastAsia" w:ascii="仿宋_GB2312" w:eastAsia="仿宋_GB2312" w:cs="仿宋"/>
          <w:color w:val="000000"/>
          <w:kern w:val="0"/>
          <w:sz w:val="32"/>
          <w:szCs w:val="32"/>
        </w:rPr>
        <w:t>县</w:t>
      </w:r>
      <w:r>
        <w:rPr>
          <w:rFonts w:hint="eastAsia" w:ascii="仿宋_GB2312" w:eastAsia="仿宋_GB2312" w:cs="仿宋"/>
          <w:color w:val="000000"/>
          <w:kern w:val="0"/>
          <w:sz w:val="32"/>
          <w:szCs w:val="32"/>
          <w:lang w:val="zh-CN"/>
        </w:rPr>
        <w:t>财政局负责按计划安排拨付资金，监督检查专项经费的使用，参与项目的检查验收工作。其他有关部门按职能职责配合做好相关工作。</w:t>
      </w:r>
    </w:p>
    <w:p>
      <w:pPr>
        <w:adjustRightInd w:val="0"/>
        <w:snapToGrid w:val="0"/>
        <w:spacing w:line="600" w:lineRule="exact"/>
        <w:ind w:firstLine="720"/>
        <w:rPr>
          <w:rFonts w:ascii="仿宋_GB2312" w:eastAsia="仿宋_GB2312" w:cs="仿宋"/>
          <w:color w:val="000000"/>
          <w:kern w:val="0"/>
          <w:sz w:val="32"/>
          <w:szCs w:val="32"/>
          <w:lang w:val="zh-CN"/>
        </w:rPr>
      </w:pPr>
      <w:r>
        <w:rPr>
          <w:rFonts w:hint="eastAsia" w:ascii="楷体" w:hAnsi="楷体" w:eastAsia="楷体" w:cs="楷体"/>
          <w:b/>
          <w:sz w:val="32"/>
          <w:szCs w:val="32"/>
          <w:lang w:val="zh-CN"/>
        </w:rPr>
        <w:t>（三）项目监管情况。</w:t>
      </w:r>
      <w:r>
        <w:rPr>
          <w:rFonts w:hint="eastAsia" w:ascii="仿宋_GB2312" w:eastAsia="仿宋_GB2312" w:cs="仿宋"/>
          <w:color w:val="000000"/>
          <w:kern w:val="0"/>
          <w:sz w:val="32"/>
          <w:szCs w:val="32"/>
          <w:lang w:val="zh-CN"/>
        </w:rPr>
        <w:t>项目资金支出及拨付完全合规，</w:t>
      </w:r>
      <w:r>
        <w:rPr>
          <w:rFonts w:hint="eastAsia" w:ascii="仿宋_GB2312" w:eastAsia="仿宋_GB2312" w:cs="仿宋"/>
          <w:kern w:val="0"/>
          <w:sz w:val="32"/>
          <w:szCs w:val="32"/>
          <w:lang w:val="zh-CN"/>
        </w:rPr>
        <w:t>项目方案确定后</w:t>
      </w:r>
      <w:r>
        <w:rPr>
          <w:rFonts w:hint="eastAsia" w:ascii="仿宋_GB2312" w:eastAsia="仿宋_GB2312" w:cs="仿宋"/>
          <w:color w:val="000000"/>
          <w:kern w:val="0"/>
          <w:sz w:val="32"/>
          <w:szCs w:val="32"/>
          <w:lang w:val="zh-CN"/>
        </w:rPr>
        <w:t>，均及时把资金发放到位，不截留、挪用。我会还不定期组织对实施机构资金使用情况进行专项检查。 </w:t>
      </w:r>
    </w:p>
    <w:p>
      <w:pPr>
        <w:adjustRightInd w:val="0"/>
        <w:snapToGrid w:val="0"/>
        <w:spacing w:line="600" w:lineRule="exact"/>
        <w:ind w:firstLine="720"/>
        <w:outlineLvl w:val="1"/>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（一）项目完成情况。</w:t>
      </w:r>
    </w:p>
    <w:p>
      <w:pPr>
        <w:adjustRightInd w:val="0"/>
        <w:snapToGrid w:val="0"/>
        <w:spacing w:line="600" w:lineRule="exact"/>
        <w:ind w:firstLine="720"/>
        <w:rPr>
          <w:rFonts w:ascii="仿宋" w:hAnsi="仿宋" w:eastAsia="仿宋" w:cs="仿宋"/>
          <w:b/>
          <w:sz w:val="32"/>
          <w:szCs w:val="32"/>
        </w:rPr>
      </w:pPr>
      <w:r>
        <w:rPr>
          <w:rFonts w:hint="eastAsia" w:ascii="仿宋" w:hAnsi="仿宋" w:eastAsia="仿宋" w:cs="仿宋"/>
          <w:sz w:val="32"/>
          <w:szCs w:val="32"/>
        </w:rPr>
        <w:t>2022年，残疾人事业发展各项目标任务圆满完成，完成率达100%。</w:t>
      </w:r>
    </w:p>
    <w:p>
      <w:pPr>
        <w:adjustRightInd w:val="0"/>
        <w:snapToGrid w:val="0"/>
        <w:spacing w:line="600" w:lineRule="exact"/>
        <w:ind w:firstLine="642" w:firstLineChars="200"/>
        <w:outlineLvl w:val="2"/>
        <w:rPr>
          <w:rFonts w:ascii="楷体" w:hAnsi="楷体" w:eastAsia="楷体" w:cs="楷体"/>
          <w:b/>
          <w:sz w:val="32"/>
          <w:szCs w:val="32"/>
          <w:lang w:val="zh-CN"/>
        </w:rPr>
      </w:pPr>
      <w:r>
        <w:rPr>
          <w:rFonts w:hint="eastAsia" w:ascii="楷体" w:hAnsi="楷体" w:eastAsia="楷体" w:cs="楷体"/>
          <w:b/>
          <w:sz w:val="32"/>
          <w:szCs w:val="32"/>
          <w:lang w:val="zh-CN"/>
        </w:rPr>
        <w:t>（二）项目效益情况。</w:t>
      </w:r>
    </w:p>
    <w:p>
      <w:pPr>
        <w:pStyle w:val="2"/>
        <w:spacing w:before="93"/>
        <w:ind w:firstLine="640" w:firstLineChars="200"/>
        <w:rPr>
          <w:rFonts w:ascii="仿宋" w:hAnsi="仿宋" w:eastAsia="仿宋" w:cs="仿宋"/>
          <w:kern w:val="2"/>
          <w:sz w:val="32"/>
          <w:szCs w:val="32"/>
          <w:lang w:val="zh-CN"/>
        </w:rPr>
      </w:pPr>
      <w:r>
        <w:rPr>
          <w:rFonts w:hint="eastAsia" w:ascii="仿宋" w:hAnsi="仿宋" w:eastAsia="仿宋" w:cs="仿宋"/>
          <w:kern w:val="2"/>
          <w:sz w:val="32"/>
          <w:szCs w:val="32"/>
          <w:lang w:val="zh-CN"/>
        </w:rPr>
        <w:t>通过</w:t>
      </w:r>
      <w:r>
        <w:rPr>
          <w:rFonts w:hint="eastAsia" w:ascii="仿宋" w:hAnsi="仿宋" w:eastAsia="仿宋" w:cs="仿宋"/>
          <w:sz w:val="32"/>
          <w:szCs w:val="32"/>
        </w:rPr>
        <w:t>残疾人事业发展各项</w:t>
      </w:r>
      <w:r>
        <w:rPr>
          <w:rFonts w:hint="eastAsia" w:ascii="仿宋" w:hAnsi="仿宋" w:eastAsia="仿宋" w:cs="仿宋"/>
          <w:kern w:val="2"/>
          <w:sz w:val="32"/>
          <w:szCs w:val="32"/>
          <w:lang w:val="zh-CN"/>
        </w:rPr>
        <w:t>的实施，着力保障了经济困难家庭残疾儿童能够得到最基本的康复救助服务，改善了残疾人生产生活条件，提高了残疾人基本保障，促进了残疾人就业，对减轻残疾给家庭和社会造成的经济负担具有重大意义，</w:t>
      </w:r>
      <w:r>
        <w:rPr>
          <w:rFonts w:hint="eastAsia" w:ascii="仿宋" w:hAnsi="仿宋" w:eastAsia="仿宋" w:cs="仿宋"/>
          <w:color w:val="333333"/>
          <w:sz w:val="32"/>
          <w:szCs w:val="32"/>
          <w:shd w:val="clear" w:color="auto" w:fill="FFFFFF"/>
        </w:rPr>
        <w:t>受助残疾人及家庭</w:t>
      </w:r>
      <w:r>
        <w:rPr>
          <w:rFonts w:hint="eastAsia" w:ascii="仿宋" w:hAnsi="仿宋" w:eastAsia="仿宋" w:cs="仿宋"/>
          <w:kern w:val="2"/>
          <w:sz w:val="32"/>
          <w:szCs w:val="32"/>
          <w:lang w:val="zh-CN"/>
        </w:rPr>
        <w:t>对国家保障和改善民生有了充分认可。</w:t>
      </w:r>
    </w:p>
    <w:p>
      <w:pPr>
        <w:adjustRightInd w:val="0"/>
        <w:snapToGrid w:val="0"/>
        <w:spacing w:line="600" w:lineRule="exact"/>
        <w:ind w:firstLine="720"/>
        <w:outlineLvl w:val="1"/>
        <w:rPr>
          <w:rFonts w:ascii="黑体" w:hAnsi="黑体" w:eastAsia="黑体" w:cs="黑体"/>
          <w:sz w:val="32"/>
          <w:szCs w:val="32"/>
          <w:lang w:val="zh-CN"/>
        </w:rPr>
      </w:pPr>
      <w:r>
        <w:rPr>
          <w:rFonts w:hint="eastAsia" w:ascii="黑体" w:hAnsi="黑体" w:eastAsia="黑体" w:cs="黑体"/>
          <w:sz w:val="32"/>
          <w:szCs w:val="32"/>
          <w:lang w:val="zh-CN"/>
        </w:rPr>
        <w:t>五、评价结论及建议</w:t>
      </w:r>
    </w:p>
    <w:p>
      <w:pPr>
        <w:adjustRightInd w:val="0"/>
        <w:snapToGrid w:val="0"/>
        <w:spacing w:line="600" w:lineRule="exact"/>
        <w:ind w:firstLine="642" w:firstLineChars="200"/>
        <w:outlineLvl w:val="2"/>
        <w:rPr>
          <w:rFonts w:ascii="楷体" w:hAnsi="楷体" w:eastAsia="楷体" w:cs="楷体"/>
          <w:b/>
          <w:sz w:val="32"/>
          <w:szCs w:val="32"/>
          <w:lang w:val="zh-CN"/>
        </w:rPr>
      </w:pPr>
      <w:r>
        <w:rPr>
          <w:rFonts w:hint="eastAsia" w:ascii="楷体" w:hAnsi="楷体" w:eastAsia="楷体" w:cs="楷体"/>
          <w:b/>
          <w:sz w:val="32"/>
          <w:szCs w:val="32"/>
          <w:lang w:val="zh-CN"/>
        </w:rPr>
        <w:t>（一）评价结论。</w:t>
      </w:r>
    </w:p>
    <w:p>
      <w:pPr>
        <w:pStyle w:val="2"/>
        <w:spacing w:before="93"/>
        <w:ind w:firstLine="640" w:firstLineChars="200"/>
        <w:rPr>
          <w:rFonts w:ascii="仿宋" w:hAnsi="仿宋" w:eastAsia="仿宋" w:cs="仿宋"/>
          <w:kern w:val="2"/>
          <w:sz w:val="32"/>
          <w:szCs w:val="32"/>
          <w:lang w:val="zh-CN"/>
        </w:rPr>
      </w:pPr>
      <w:r>
        <w:rPr>
          <w:rFonts w:hint="eastAsia" w:ascii="仿宋" w:hAnsi="仿宋" w:eastAsia="仿宋" w:cs="仿宋"/>
          <w:kern w:val="2"/>
          <w:sz w:val="32"/>
          <w:szCs w:val="32"/>
          <w:lang w:val="zh-CN"/>
        </w:rPr>
        <w:t>该项目的深入实施，</w:t>
      </w:r>
      <w:r>
        <w:rPr>
          <w:rFonts w:hint="eastAsia" w:ascii="仿宋" w:hAnsi="仿宋" w:eastAsia="仿宋" w:cs="仿宋"/>
          <w:color w:val="333333"/>
          <w:sz w:val="32"/>
          <w:szCs w:val="32"/>
          <w:shd w:val="clear" w:color="auto" w:fill="FFFFFF"/>
        </w:rPr>
        <w:t>让广大残疾人有更多的获得感、幸福感、安全感，</w:t>
      </w:r>
      <w:r>
        <w:rPr>
          <w:rFonts w:hint="eastAsia" w:ascii="仿宋" w:hAnsi="仿宋" w:eastAsia="仿宋" w:cs="仿宋"/>
          <w:kern w:val="2"/>
          <w:sz w:val="32"/>
          <w:szCs w:val="32"/>
          <w:lang w:val="zh-CN"/>
        </w:rPr>
        <w:t>增加了他们参与社会的能力，饱受到了党和政府的温暖，深得受助残疾人以及全社会的普遍好评。</w:t>
      </w:r>
    </w:p>
    <w:p>
      <w:p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 w:hAnsi="仿宋" w:eastAsia="仿宋" w:cs="仿宋"/>
          <w:sz w:val="32"/>
          <w:szCs w:val="32"/>
        </w:rPr>
        <w:t>残疾人事业发展资金保障水平不高，还不能很好的满足特别困难残疾人的需要</w:t>
      </w:r>
      <w:r>
        <w:rPr>
          <w:rFonts w:hint="eastAsia" w:ascii="仿宋" w:hAnsi="仿宋" w:eastAsia="仿宋" w:cs="仿宋"/>
          <w:sz w:val="32"/>
          <w:szCs w:val="32"/>
          <w:lang w:val="zh-CN"/>
        </w:rPr>
        <w:t>。</w:t>
      </w:r>
      <w:r>
        <w:rPr>
          <w:rFonts w:hint="eastAsia" w:ascii="仿宋_GB2312" w:hAnsi="宋体" w:eastAsia="仿宋_GB2312"/>
          <w:sz w:val="32"/>
          <w:szCs w:val="32"/>
          <w:lang w:val="zh-CN"/>
        </w:rPr>
        <w:tab/>
      </w:r>
    </w:p>
    <w:p>
      <w:pPr>
        <w:adjustRightInd w:val="0"/>
        <w:snapToGrid w:val="0"/>
        <w:spacing w:line="600" w:lineRule="exact"/>
        <w:ind w:left="720"/>
        <w:outlineLvl w:val="2"/>
        <w:rPr>
          <w:rFonts w:ascii="楷体" w:hAnsi="楷体" w:eastAsia="楷体" w:cs="楷体"/>
          <w:b/>
          <w:sz w:val="32"/>
          <w:szCs w:val="32"/>
          <w:lang w:val="zh-CN"/>
        </w:rPr>
      </w:pPr>
      <w:r>
        <w:rPr>
          <w:rFonts w:hint="eastAsia" w:ascii="楷体" w:hAnsi="楷体" w:eastAsia="楷体" w:cs="楷体"/>
          <w:b/>
          <w:sz w:val="32"/>
          <w:szCs w:val="32"/>
          <w:lang w:val="zh-CN"/>
        </w:rPr>
        <w:t>（三）相关建议。</w:t>
      </w:r>
    </w:p>
    <w:p>
      <w:pPr>
        <w:pStyle w:val="2"/>
        <w:spacing w:before="93"/>
        <w:ind w:firstLine="640" w:firstLineChars="200"/>
        <w:rPr>
          <w:rFonts w:ascii="仿宋" w:hAnsi="仿宋" w:eastAsia="仿宋" w:cs="仿宋"/>
          <w:kern w:val="2"/>
          <w:sz w:val="32"/>
          <w:szCs w:val="32"/>
          <w:lang w:val="zh-CN"/>
        </w:rPr>
      </w:pPr>
      <w:r>
        <w:rPr>
          <w:rFonts w:hint="eastAsia" w:ascii="仿宋" w:hAnsi="仿宋" w:eastAsia="仿宋" w:cs="仿宋"/>
          <w:kern w:val="2"/>
          <w:sz w:val="32"/>
          <w:szCs w:val="32"/>
          <w:lang w:val="zh-CN"/>
        </w:rPr>
        <w:t>政策建议：残疾人是一个特殊困难群体，建议对特别困难残疾人给予特惠政策，提高保障水平。</w:t>
      </w:r>
    </w:p>
    <w:tbl>
      <w:tblPr>
        <w:tblStyle w:val="14"/>
        <w:tblW w:w="8360" w:type="dxa"/>
        <w:tblInd w:w="93" w:type="dxa"/>
        <w:tblLayout w:type="autofit"/>
        <w:tblCellMar>
          <w:top w:w="0" w:type="dxa"/>
          <w:left w:w="108" w:type="dxa"/>
          <w:bottom w:w="0" w:type="dxa"/>
          <w:right w:w="108" w:type="dxa"/>
        </w:tblCellMar>
      </w:tblPr>
      <w:tblGrid>
        <w:gridCol w:w="732"/>
        <w:gridCol w:w="736"/>
        <w:gridCol w:w="920"/>
        <w:gridCol w:w="920"/>
        <w:gridCol w:w="706"/>
        <w:gridCol w:w="735"/>
        <w:gridCol w:w="611"/>
        <w:gridCol w:w="861"/>
        <w:gridCol w:w="706"/>
        <w:gridCol w:w="720"/>
        <w:gridCol w:w="713"/>
      </w:tblGrid>
      <w:tr>
        <w:tblPrEx>
          <w:tblCellMar>
            <w:top w:w="0" w:type="dxa"/>
            <w:left w:w="108" w:type="dxa"/>
            <w:bottom w:w="0" w:type="dxa"/>
            <w:right w:w="108" w:type="dxa"/>
          </w:tblCellMar>
        </w:tblPrEx>
        <w:trPr>
          <w:trHeight w:val="629" w:hRule="atLeast"/>
        </w:trPr>
        <w:tc>
          <w:tcPr>
            <w:tcW w:w="83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320" w:hRule="atLeast"/>
        </w:trPr>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残疾人事业发展</w:t>
            </w:r>
          </w:p>
        </w:tc>
      </w:tr>
      <w:tr>
        <w:tblPrEx>
          <w:tblCellMar>
            <w:top w:w="0" w:type="dxa"/>
            <w:left w:w="108" w:type="dxa"/>
            <w:bottom w:w="0" w:type="dxa"/>
            <w:right w:w="108" w:type="dxa"/>
          </w:tblCellMar>
        </w:tblPrEx>
        <w:trPr>
          <w:trHeight w:val="938" w:hRule="atLeast"/>
        </w:trPr>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39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岳池县残疾人联合会</w:t>
            </w:r>
          </w:p>
        </w:tc>
        <w:tc>
          <w:tcPr>
            <w:tcW w:w="832"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1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岳池县残疾人联合会</w:t>
            </w:r>
          </w:p>
        </w:tc>
      </w:tr>
      <w:tr>
        <w:tblPrEx>
          <w:tblCellMar>
            <w:top w:w="0" w:type="dxa"/>
            <w:left w:w="108" w:type="dxa"/>
            <w:bottom w:w="0" w:type="dxa"/>
            <w:right w:w="108" w:type="dxa"/>
          </w:tblCellMar>
        </w:tblPrEx>
        <w:trPr>
          <w:trHeight w:val="32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39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29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1556"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39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60" w:firstLineChars="200"/>
              <w:rPr>
                <w:rFonts w:ascii="仿宋" w:hAnsi="仿宋" w:eastAsia="仿宋" w:cs="仿宋"/>
                <w:color w:val="333333"/>
                <w:sz w:val="32"/>
                <w:szCs w:val="32"/>
                <w:shd w:val="clear" w:color="auto" w:fill="FFFFFF"/>
              </w:rPr>
            </w:pPr>
            <w:r>
              <w:rPr>
                <w:rFonts w:hint="eastAsia" w:ascii="宋体" w:hAnsi="宋体" w:cs="宋体"/>
                <w:color w:val="000000"/>
                <w:kern w:val="0"/>
                <w:sz w:val="18"/>
                <w:szCs w:val="18"/>
              </w:rPr>
              <w:t>为符合条件的0-14岁135名残疾儿童进行基本康复救助；为144户困难重度家庭进行残疾人无障碍改造；购置一批康复设备配备康复机构，提高康复水平；对符合条件的500名精神残疾人门诊服药进行补贴；实施“阳光家园计划”，对300名残疾人提供生活照料和护理；为300名残疾人提供农村实用技术培训，掌握1-2门实用技术；为520名困难残疾人免费提供辅具；支持430名贫困残疾人居家灵活就业。</w:t>
            </w:r>
          </w:p>
          <w:p>
            <w:pPr>
              <w:rPr>
                <w:rFonts w:ascii="宋体" w:hAnsi="宋体" w:cs="宋体"/>
                <w:color w:val="000000"/>
                <w:sz w:val="18"/>
                <w:szCs w:val="18"/>
              </w:rPr>
            </w:pPr>
          </w:p>
        </w:tc>
        <w:tc>
          <w:tcPr>
            <w:tcW w:w="29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r>
              <w:rPr>
                <w:rFonts w:hint="eastAsia" w:ascii="宋体" w:hAnsi="宋体" w:cs="宋体"/>
                <w:color w:val="000000"/>
                <w:sz w:val="18"/>
                <w:szCs w:val="18"/>
              </w:rPr>
              <w:t>全部完成。</w:t>
            </w:r>
          </w:p>
        </w:tc>
      </w:tr>
      <w:tr>
        <w:tblPrEx>
          <w:tblCellMar>
            <w:top w:w="0" w:type="dxa"/>
            <w:left w:w="108" w:type="dxa"/>
            <w:bottom w:w="0" w:type="dxa"/>
            <w:right w:w="108" w:type="dxa"/>
          </w:tblCellMar>
        </w:tblPrEx>
        <w:trPr>
          <w:trHeight w:val="372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6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1.为符合条件的0-14岁残疾儿童提供人工耳蜗及助听器验配、肢体矫治手术、功能训练等基本康复服务，改善残疾儿童功能状况不断提高残疾儿童生活自理能力，增强社会参与；为早期干预试点地区有需求的小龄听力、肢体等残疾儿童提供亲子同训、家长培训等以家庭为中心的早期干预康复服务，改善残疾儿童功能状况，不断提高残疾儿童生活自理能力，增强社会参与。</w:t>
            </w:r>
          </w:p>
          <w:p>
            <w:pPr>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2 对困难重度残疾人家庭实施无障碍环境建设，改善残疾人生活条件，提高自理能力。</w:t>
            </w:r>
          </w:p>
          <w:p>
            <w:pPr>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 xml:space="preserve">3.购置一批康复设备，提高基本康复水平。                                                                                 </w:t>
            </w:r>
          </w:p>
          <w:p>
            <w:pPr>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4.为困难精神残疾人提供免费服药</w:t>
            </w:r>
          </w:p>
          <w:p>
            <w:pPr>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 xml:space="preserve">5.通过“阳光家园计划”项目年度工作的实施，帮助残疾人得到托养照料。                                                 </w:t>
            </w:r>
          </w:p>
          <w:p>
            <w:pPr>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 xml:space="preserve">6.为残疾人提供实用技术培训，掌握1-2门实用技术。  </w:t>
            </w:r>
          </w:p>
          <w:p>
            <w:pPr>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 xml:space="preserve">7.为困难残疾人免费提供辅具。                               </w:t>
            </w:r>
          </w:p>
          <w:p>
            <w:pPr>
              <w:widowControl/>
              <w:jc w:val="left"/>
              <w:textAlignment w:val="center"/>
              <w:rPr>
                <w:rFonts w:ascii="宋体" w:hAnsi="宋体" w:cs="宋体"/>
                <w:color w:val="000000"/>
                <w:sz w:val="18"/>
                <w:szCs w:val="18"/>
              </w:rPr>
            </w:pPr>
            <w:r>
              <w:rPr>
                <w:rFonts w:ascii="宋体" w:hAnsi="宋体" w:cs="宋体"/>
                <w:color w:val="000000"/>
                <w:kern w:val="0"/>
                <w:sz w:val="18"/>
                <w:szCs w:val="18"/>
              </w:rPr>
              <w:t>8.支持贫困残疾人居家灵活就业。</w:t>
            </w:r>
          </w:p>
        </w:tc>
      </w:tr>
      <w:tr>
        <w:tblPrEx>
          <w:tblCellMar>
            <w:top w:w="0" w:type="dxa"/>
            <w:left w:w="108" w:type="dxa"/>
            <w:bottom w:w="0" w:type="dxa"/>
            <w:right w:w="108" w:type="dxa"/>
          </w:tblCellMar>
        </w:tblPrEx>
        <w:trPr>
          <w:trHeight w:val="1247"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32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497.9200 </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497.9200 </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497.9200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93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497.9200 </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497.9200 </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497.9200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1247"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629"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629"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1247"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1247"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92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92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0-14岁残疾儿童得到基本康复服务</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135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135</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29"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2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92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残疾人无障碍改造</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144</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144</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29"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2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92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康复机构配备设备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93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2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92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精神残疾人免费服药</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29"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2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92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残疾人托养照料</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93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2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92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残疾人实用技术培训</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29"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2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92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残疾人辅具适配</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520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520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93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2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92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残疾人居家灵活就业</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430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430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93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完成时限</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2022年12月</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2022年12月</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88"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有所提高</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有所提高</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20" w:hRule="atLeast"/>
        </w:trPr>
        <w:tc>
          <w:tcPr>
            <w:tcW w:w="62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2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76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自评得分100分，残疾人事业持续稳定发展，残疾人满意度90%以上。</w:t>
            </w:r>
          </w:p>
        </w:tc>
      </w:tr>
      <w:tr>
        <w:tblPrEx>
          <w:tblCellMar>
            <w:top w:w="0" w:type="dxa"/>
            <w:left w:w="108" w:type="dxa"/>
            <w:bottom w:w="0" w:type="dxa"/>
            <w:right w:w="108" w:type="dxa"/>
          </w:tblCellMar>
        </w:tblPrEx>
        <w:trPr>
          <w:trHeight w:val="62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76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无</w:t>
            </w:r>
          </w:p>
        </w:tc>
      </w:tr>
      <w:tr>
        <w:tblPrEx>
          <w:tblCellMar>
            <w:top w:w="0" w:type="dxa"/>
            <w:left w:w="108" w:type="dxa"/>
            <w:bottom w:w="0" w:type="dxa"/>
            <w:right w:w="108" w:type="dxa"/>
          </w:tblCellMar>
        </w:tblPrEx>
        <w:trPr>
          <w:trHeight w:val="62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76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无</w:t>
            </w:r>
          </w:p>
        </w:tc>
      </w:tr>
      <w:tr>
        <w:tblPrEx>
          <w:tblCellMar>
            <w:top w:w="0" w:type="dxa"/>
            <w:left w:w="108" w:type="dxa"/>
            <w:bottom w:w="0" w:type="dxa"/>
            <w:right w:w="108" w:type="dxa"/>
          </w:tblCellMar>
        </w:tblPrEx>
        <w:trPr>
          <w:trHeight w:val="341" w:hRule="atLeast"/>
        </w:trPr>
        <w:tc>
          <w:tcPr>
            <w:tcW w:w="4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项目负责人：刘云权</w:t>
            </w:r>
          </w:p>
        </w:tc>
        <w:tc>
          <w:tcPr>
            <w:tcW w:w="43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财务负责人：王红</w:t>
            </w:r>
          </w:p>
        </w:tc>
      </w:tr>
    </w:tbl>
    <w:p>
      <w:pPr>
        <w:adjustRightInd w:val="0"/>
        <w:snapToGrid w:val="0"/>
        <w:spacing w:line="600" w:lineRule="exact"/>
        <w:outlineLvl w:val="1"/>
        <w:rPr>
          <w:rFonts w:ascii="黑体" w:hAnsi="黑体" w:eastAsia="黑体" w:cs="黑体"/>
          <w:sz w:val="32"/>
          <w:szCs w:val="32"/>
        </w:rPr>
      </w:pPr>
    </w:p>
    <w:p>
      <w:pPr>
        <w:pStyle w:val="2"/>
        <w:spacing w:before="93"/>
      </w:pPr>
      <w:r>
        <w:br w:type="page"/>
      </w:r>
    </w:p>
    <w:bookmarkEnd w:id="196"/>
    <w:bookmarkEnd w:id="197"/>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rPr>
        <w:t>2022年残疾儿童康复</w:t>
      </w:r>
      <w:r>
        <w:rPr>
          <w:rFonts w:hint="eastAsia" w:ascii="方正小标宋简体" w:hAnsi="方正小标宋简体" w:eastAsia="方正小标宋简体" w:cs="方正小标宋简体"/>
          <w:sz w:val="44"/>
          <w:szCs w:val="44"/>
          <w:lang w:val="zh-CN"/>
        </w:rPr>
        <w:t>本级预算项目</w:t>
      </w:r>
    </w:p>
    <w:p>
      <w:pPr>
        <w:spacing w:line="60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支出绩效自评报告</w:t>
      </w:r>
    </w:p>
    <w:p>
      <w:pPr>
        <w:adjustRightInd w:val="0"/>
        <w:snapToGrid w:val="0"/>
        <w:spacing w:line="600" w:lineRule="exact"/>
        <w:rPr>
          <w:color w:val="0000FF"/>
          <w:sz w:val="44"/>
          <w:szCs w:val="44"/>
        </w:rPr>
      </w:pPr>
    </w:p>
    <w:p>
      <w:pPr>
        <w:adjustRightInd w:val="0"/>
        <w:snapToGrid w:val="0"/>
        <w:spacing w:line="590" w:lineRule="exact"/>
        <w:ind w:firstLine="640" w:firstLineChars="200"/>
        <w:outlineLvl w:val="1"/>
        <w:rPr>
          <w:rFonts w:ascii="黑体" w:hAnsi="宋体" w:eastAsia="黑体"/>
          <w:sz w:val="32"/>
          <w:szCs w:val="32"/>
          <w:lang w:val="zh-CN"/>
        </w:rPr>
      </w:pPr>
      <w:bookmarkStart w:id="198" w:name="_Toc23827"/>
      <w:bookmarkStart w:id="199" w:name="_Toc15574"/>
      <w:r>
        <w:rPr>
          <w:rFonts w:hint="eastAsia" w:ascii="黑体" w:hAnsi="宋体" w:eastAsia="黑体"/>
          <w:sz w:val="32"/>
          <w:szCs w:val="32"/>
        </w:rPr>
        <w:t>一、</w:t>
      </w:r>
      <w:r>
        <w:rPr>
          <w:rFonts w:hint="eastAsia" w:ascii="黑体" w:hAnsi="宋体" w:eastAsia="黑体"/>
          <w:sz w:val="32"/>
          <w:szCs w:val="32"/>
          <w:lang w:val="zh-CN"/>
        </w:rPr>
        <w:t>项目概况</w:t>
      </w:r>
      <w:bookmarkEnd w:id="198"/>
      <w:bookmarkEnd w:id="199"/>
    </w:p>
    <w:p>
      <w:pPr>
        <w:adjustRightInd w:val="0"/>
        <w:snapToGrid w:val="0"/>
        <w:spacing w:line="590" w:lineRule="exact"/>
        <w:ind w:firstLine="642" w:firstLineChars="200"/>
        <w:outlineLvl w:val="2"/>
        <w:rPr>
          <w:rFonts w:ascii="楷体" w:hAnsi="楷体" w:eastAsia="楷体" w:cs="楷体"/>
          <w:b/>
          <w:sz w:val="32"/>
          <w:szCs w:val="32"/>
          <w:lang w:val="zh-CN"/>
        </w:rPr>
      </w:pPr>
      <w:r>
        <w:rPr>
          <w:rFonts w:hint="eastAsia" w:ascii="楷体" w:hAnsi="楷体" w:eastAsia="楷体" w:cs="楷体"/>
          <w:b/>
          <w:sz w:val="32"/>
          <w:szCs w:val="32"/>
          <w:lang w:val="zh-CN"/>
        </w:rPr>
        <w:t>（一）项目基本情况</w:t>
      </w:r>
    </w:p>
    <w:p>
      <w:pPr>
        <w:spacing w:line="59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1、2022年，县财政预算下达残疾人康复经费90万元，对具有岳池户籍，持有残疾人证或经三级资质以上医院出具诊断证明，有康复需求且具有相应康复适应指征的</w:t>
      </w:r>
      <w:r>
        <w:rPr>
          <w:rFonts w:hint="eastAsia" w:ascii="仿宋" w:hAnsi="仿宋" w:eastAsia="仿宋" w:cs="仿宋"/>
          <w:color w:val="000000"/>
          <w:sz w:val="32"/>
          <w:szCs w:val="32"/>
          <w:shd w:val="clear" w:color="auto" w:fill="FFFFFF"/>
        </w:rPr>
        <w:t>0-6岁视力、听力、言语、肢体、智力残疾儿童、孤独症儿童</w:t>
      </w:r>
      <w:r>
        <w:rPr>
          <w:rFonts w:hint="eastAsia" w:ascii="仿宋" w:hAnsi="仿宋" w:eastAsia="仿宋" w:cs="仿宋"/>
          <w:color w:val="333333"/>
          <w:sz w:val="32"/>
          <w:szCs w:val="32"/>
          <w:shd w:val="clear" w:color="auto" w:fill="FFFFFF"/>
        </w:rPr>
        <w:t>，</w:t>
      </w:r>
      <w:r>
        <w:rPr>
          <w:rFonts w:hint="eastAsia" w:ascii="仿宋" w:hAnsi="仿宋" w:eastAsia="仿宋" w:cs="仿宋"/>
          <w:color w:val="000000"/>
          <w:sz w:val="32"/>
          <w:szCs w:val="32"/>
          <w:shd w:val="clear" w:color="auto" w:fill="FFFFFF"/>
        </w:rPr>
        <w:t>脑瘫儿童年龄放宽至14岁，</w:t>
      </w:r>
      <w:r>
        <w:rPr>
          <w:rFonts w:hint="eastAsia" w:ascii="仿宋" w:hAnsi="仿宋" w:eastAsia="仿宋" w:cs="仿宋"/>
          <w:color w:val="333333"/>
          <w:sz w:val="32"/>
          <w:szCs w:val="32"/>
          <w:shd w:val="clear" w:color="auto" w:fill="FFFFFF"/>
        </w:rPr>
        <w:t>在定点康复机构进行康复训练，对符合条件的年给予不高于20000元的康复救助。</w:t>
      </w:r>
    </w:p>
    <w:p>
      <w:pPr>
        <w:spacing w:line="59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2、该项目是执行2019年市政府下发《广安市人民政府关于建立残疾儿童康复救助制度的实施意见》（广市府发〔2019〕12号）</w:t>
      </w:r>
      <w:r>
        <w:rPr>
          <w:rFonts w:hint="eastAsia" w:ascii="仿宋" w:hAnsi="仿宋" w:eastAsia="仿宋" w:cs="仿宋"/>
          <w:color w:val="000000"/>
          <w:sz w:val="32"/>
          <w:szCs w:val="32"/>
          <w:shd w:val="clear" w:color="auto" w:fill="FFFFFF"/>
        </w:rPr>
        <w:t>，</w:t>
      </w:r>
      <w:r>
        <w:rPr>
          <w:rFonts w:hint="eastAsia" w:ascii="仿宋" w:hAnsi="仿宋" w:eastAsia="仿宋" w:cs="仿宋"/>
          <w:color w:val="333333"/>
          <w:sz w:val="32"/>
          <w:szCs w:val="32"/>
          <w:shd w:val="clear" w:color="auto" w:fill="FFFFFF"/>
        </w:rPr>
        <w:t>由岳池县残联具体负责，严格按照文件要求具体落实。</w:t>
      </w:r>
    </w:p>
    <w:p>
      <w:pPr>
        <w:adjustRightInd w:val="0"/>
        <w:snapToGrid w:val="0"/>
        <w:spacing w:line="590" w:lineRule="exact"/>
        <w:ind w:firstLine="642" w:firstLineChars="200"/>
        <w:outlineLvl w:val="2"/>
        <w:rPr>
          <w:rFonts w:ascii="楷体" w:hAnsi="楷体" w:eastAsia="楷体" w:cs="楷体"/>
          <w:b/>
          <w:sz w:val="32"/>
          <w:szCs w:val="32"/>
          <w:lang w:val="zh-CN"/>
        </w:rPr>
      </w:pPr>
      <w:r>
        <w:rPr>
          <w:rFonts w:hint="eastAsia" w:ascii="楷体" w:hAnsi="楷体" w:eastAsia="楷体" w:cs="楷体"/>
          <w:b/>
          <w:sz w:val="32"/>
          <w:szCs w:val="32"/>
          <w:lang w:val="zh-CN"/>
        </w:rPr>
        <w:t>（二）项目绩效目标</w:t>
      </w:r>
    </w:p>
    <w:p>
      <w:pPr>
        <w:adjustRightInd w:val="0"/>
        <w:snapToGrid w:val="0"/>
        <w:spacing w:line="590" w:lineRule="exact"/>
        <w:ind w:firstLine="640" w:firstLineChars="200"/>
        <w:outlineLvl w:val="2"/>
        <w:rPr>
          <w:rFonts w:ascii="楷体" w:hAnsi="楷体" w:eastAsia="楷体" w:cs="楷体"/>
          <w:b/>
          <w:sz w:val="32"/>
          <w:szCs w:val="32"/>
          <w:lang w:val="zh-CN"/>
        </w:rPr>
      </w:pPr>
      <w:r>
        <w:rPr>
          <w:rFonts w:hint="eastAsia" w:ascii="仿宋" w:hAnsi="仿宋" w:eastAsia="仿宋" w:cs="仿宋"/>
          <w:color w:val="000000"/>
          <w:sz w:val="32"/>
          <w:szCs w:val="32"/>
          <w:shd w:val="clear" w:color="auto" w:fill="FFFFFF"/>
          <w:lang w:val="zh-CN"/>
        </w:rPr>
        <w:t>参照省财政厅关于下达2022年省级彩票公益金残疾人康复补助资金的通知》，为全县</w:t>
      </w:r>
      <w:r>
        <w:rPr>
          <w:rFonts w:hint="eastAsia" w:ascii="仿宋" w:hAnsi="仿宋" w:eastAsia="仿宋" w:cs="仿宋"/>
          <w:color w:val="000000"/>
          <w:sz w:val="32"/>
          <w:szCs w:val="32"/>
          <w:shd w:val="clear" w:color="auto" w:fill="FFFFFF"/>
        </w:rPr>
        <w:t>10</w:t>
      </w:r>
      <w:r>
        <w:rPr>
          <w:rFonts w:hint="eastAsia" w:ascii="仿宋" w:hAnsi="仿宋" w:eastAsia="仿宋" w:cs="仿宋"/>
          <w:color w:val="000000"/>
          <w:sz w:val="32"/>
          <w:szCs w:val="32"/>
          <w:shd w:val="clear" w:color="auto" w:fill="FFFFFF"/>
          <w:lang w:val="zh-CN"/>
        </w:rPr>
        <w:t>0名 0-6岁视力、听力、言语、肢体、智力残疾儿童、孤独症儿童及0-14岁肢体残疾儿童提供相应功能训练等服务，改善残疾儿童功能状况，增强自理和社会参与能力，完成率≥75%。</w:t>
      </w:r>
    </w:p>
    <w:p>
      <w:pPr>
        <w:adjustRightInd w:val="0"/>
        <w:snapToGrid w:val="0"/>
        <w:spacing w:line="590" w:lineRule="exact"/>
        <w:ind w:firstLine="642" w:firstLineChars="200"/>
        <w:outlineLvl w:val="2"/>
        <w:rPr>
          <w:rFonts w:ascii="楷体" w:hAnsi="楷体" w:eastAsia="楷体" w:cs="楷体"/>
          <w:b/>
          <w:sz w:val="32"/>
          <w:szCs w:val="32"/>
          <w:lang w:val="zh-CN"/>
        </w:rPr>
      </w:pPr>
      <w:r>
        <w:rPr>
          <w:rFonts w:hint="eastAsia" w:ascii="楷体" w:hAnsi="楷体" w:eastAsia="楷体" w:cs="楷体"/>
          <w:b/>
          <w:sz w:val="32"/>
          <w:szCs w:val="32"/>
          <w:lang w:val="zh-CN"/>
        </w:rPr>
        <w:t>（三）项目自评步骤及方法</w:t>
      </w:r>
    </w:p>
    <w:p>
      <w:pPr>
        <w:adjustRightInd w:val="0"/>
        <w:snapToGrid w:val="0"/>
        <w:spacing w:line="590" w:lineRule="exact"/>
        <w:ind w:firstLine="640" w:firstLineChars="20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1、绩效评价目的、对象和范围。</w:t>
      </w:r>
    </w:p>
    <w:p>
      <w:pPr>
        <w:adjustRightInd w:val="0"/>
        <w:snapToGrid w:val="0"/>
        <w:spacing w:line="590" w:lineRule="exact"/>
        <w:ind w:firstLine="640" w:firstLineChars="20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县残联通过对残疾儿童康复资金使用绩效评价，对残疾儿童及监护人进行调查，更好的总结分析资金执行状况，为下一步工作提供依据。</w:t>
      </w:r>
    </w:p>
    <w:p>
      <w:pPr>
        <w:adjustRightInd w:val="0"/>
        <w:snapToGrid w:val="0"/>
        <w:spacing w:line="590" w:lineRule="exact"/>
        <w:ind w:firstLine="640" w:firstLineChars="20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2、评价方法。</w:t>
      </w:r>
    </w:p>
    <w:p>
      <w:pPr>
        <w:adjustRightInd w:val="0"/>
        <w:snapToGrid w:val="0"/>
        <w:spacing w:line="590" w:lineRule="exact"/>
        <w:ind w:firstLine="640" w:firstLineChars="20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县残联通过抽查方式对2022年救助的</w:t>
      </w:r>
      <w:r>
        <w:rPr>
          <w:rFonts w:hint="eastAsia" w:ascii="仿宋" w:hAnsi="仿宋" w:eastAsia="仿宋" w:cs="仿宋"/>
          <w:color w:val="000000"/>
          <w:sz w:val="32"/>
          <w:szCs w:val="32"/>
          <w:shd w:val="clear" w:color="auto" w:fill="FFFFFF"/>
        </w:rPr>
        <w:t>6</w:t>
      </w:r>
      <w:r>
        <w:rPr>
          <w:rFonts w:hint="eastAsia" w:ascii="仿宋" w:hAnsi="仿宋" w:eastAsia="仿宋" w:cs="仿宋"/>
          <w:color w:val="000000"/>
          <w:sz w:val="32"/>
          <w:szCs w:val="32"/>
          <w:shd w:val="clear" w:color="auto" w:fill="FFFFFF"/>
          <w:lang w:val="zh-CN"/>
        </w:rPr>
        <w:t>0名残疾儿童进行抽查，按照抽查率不少于30%的要求，通过电话抽查回访的方式，进行绩效评价。</w:t>
      </w:r>
    </w:p>
    <w:p>
      <w:pPr>
        <w:adjustRightInd w:val="0"/>
        <w:snapToGrid w:val="0"/>
        <w:spacing w:line="590" w:lineRule="exact"/>
        <w:ind w:firstLine="640" w:firstLineChars="20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3、绩效评价工作过程。</w:t>
      </w:r>
    </w:p>
    <w:p>
      <w:pPr>
        <w:adjustRightInd w:val="0"/>
        <w:snapToGrid w:val="0"/>
        <w:spacing w:line="590" w:lineRule="exact"/>
        <w:ind w:firstLine="640" w:firstLineChars="20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由县残联负责康复工作的工作人员，对全县救助的</w:t>
      </w:r>
      <w:r>
        <w:rPr>
          <w:rFonts w:hint="eastAsia" w:ascii="仿宋" w:hAnsi="仿宋" w:eastAsia="仿宋" w:cs="仿宋"/>
          <w:color w:val="000000"/>
          <w:sz w:val="32"/>
          <w:szCs w:val="32"/>
          <w:shd w:val="clear" w:color="auto" w:fill="FFFFFF"/>
        </w:rPr>
        <w:t>6</w:t>
      </w:r>
      <w:r>
        <w:rPr>
          <w:rFonts w:hint="eastAsia" w:ascii="仿宋" w:hAnsi="仿宋" w:eastAsia="仿宋" w:cs="仿宋"/>
          <w:color w:val="000000"/>
          <w:sz w:val="32"/>
          <w:szCs w:val="32"/>
          <w:shd w:val="clear" w:color="auto" w:fill="FFFFFF"/>
          <w:lang w:val="zh-CN"/>
        </w:rPr>
        <w:t>0名残疾儿童康按不低于30%随机抽样进行电话回访和评估。</w:t>
      </w:r>
    </w:p>
    <w:p>
      <w:pPr>
        <w:adjustRightInd w:val="0"/>
        <w:snapToGrid w:val="0"/>
        <w:spacing w:line="590" w:lineRule="exact"/>
        <w:ind w:firstLine="640" w:firstLineChars="200"/>
        <w:outlineLvl w:val="1"/>
        <w:rPr>
          <w:rFonts w:ascii="黑体" w:hAnsi="宋体" w:eastAsia="黑体"/>
          <w:sz w:val="32"/>
          <w:szCs w:val="32"/>
        </w:rPr>
      </w:pPr>
      <w:bookmarkStart w:id="200" w:name="_Toc3787"/>
      <w:bookmarkStart w:id="201" w:name="_Toc5373"/>
      <w:r>
        <w:rPr>
          <w:rFonts w:hint="eastAsia" w:ascii="黑体" w:hAnsi="宋体" w:eastAsia="黑体"/>
          <w:sz w:val="32"/>
          <w:szCs w:val="32"/>
        </w:rPr>
        <w:t>二、项目资金申报及使用情况</w:t>
      </w:r>
      <w:bookmarkEnd w:id="200"/>
      <w:bookmarkEnd w:id="201"/>
    </w:p>
    <w:p>
      <w:pPr>
        <w:adjustRightInd w:val="0"/>
        <w:snapToGrid w:val="0"/>
        <w:spacing w:line="590" w:lineRule="exact"/>
        <w:ind w:firstLine="642" w:firstLineChars="200"/>
        <w:outlineLvl w:val="2"/>
        <w:rPr>
          <w:rFonts w:ascii="楷体" w:hAnsi="楷体" w:eastAsia="楷体" w:cs="楷体"/>
          <w:b/>
          <w:sz w:val="32"/>
          <w:szCs w:val="32"/>
          <w:lang w:val="zh-CN"/>
        </w:rPr>
      </w:pPr>
      <w:r>
        <w:rPr>
          <w:rFonts w:hint="eastAsia" w:ascii="楷体" w:hAnsi="楷体" w:eastAsia="楷体" w:cs="楷体"/>
          <w:b/>
          <w:sz w:val="32"/>
          <w:szCs w:val="32"/>
          <w:lang w:val="zh-CN"/>
        </w:rPr>
        <w:t>（一）项目资金申报及批复情况</w:t>
      </w:r>
    </w:p>
    <w:p>
      <w:pPr>
        <w:spacing w:line="590" w:lineRule="exact"/>
        <w:ind w:firstLine="620" w:firstLineChars="200"/>
        <w:rPr>
          <w:rFonts w:ascii="仿宋" w:hAnsi="仿宋" w:eastAsia="仿宋" w:cs="仿宋"/>
          <w:color w:val="333333"/>
          <w:sz w:val="31"/>
          <w:szCs w:val="31"/>
          <w:shd w:val="clear" w:color="auto" w:fill="FFFFFF"/>
          <w:lang w:val="zh-CN"/>
        </w:rPr>
      </w:pPr>
      <w:r>
        <w:rPr>
          <w:rFonts w:hint="eastAsia" w:ascii="仿宋" w:hAnsi="仿宋" w:eastAsia="仿宋" w:cs="仿宋"/>
          <w:color w:val="333333"/>
          <w:sz w:val="31"/>
          <w:szCs w:val="31"/>
          <w:shd w:val="clear" w:color="auto" w:fill="FFFFFF"/>
        </w:rPr>
        <w:t>县财政下达批复资金90万元</w:t>
      </w:r>
      <w:r>
        <w:rPr>
          <w:rFonts w:hint="eastAsia" w:ascii="仿宋" w:hAnsi="仿宋" w:eastAsia="仿宋" w:cs="仿宋"/>
          <w:color w:val="333333"/>
          <w:sz w:val="31"/>
          <w:szCs w:val="31"/>
          <w:shd w:val="clear" w:color="auto" w:fill="FFFFFF"/>
          <w:lang w:val="zh-CN"/>
        </w:rPr>
        <w:t>。</w:t>
      </w:r>
    </w:p>
    <w:p>
      <w:pPr>
        <w:adjustRightInd w:val="0"/>
        <w:snapToGrid w:val="0"/>
        <w:spacing w:line="590" w:lineRule="exact"/>
        <w:ind w:firstLine="642" w:firstLineChars="200"/>
        <w:outlineLvl w:val="2"/>
        <w:rPr>
          <w:rFonts w:ascii="楷体" w:hAnsi="楷体" w:eastAsia="楷体" w:cs="楷体"/>
          <w:sz w:val="32"/>
          <w:szCs w:val="32"/>
          <w:lang w:val="zh-CN"/>
        </w:rPr>
      </w:pPr>
      <w:r>
        <w:rPr>
          <w:rFonts w:hint="eastAsia" w:ascii="楷体" w:hAnsi="楷体" w:eastAsia="楷体" w:cs="楷体"/>
          <w:b/>
          <w:sz w:val="32"/>
          <w:szCs w:val="32"/>
          <w:lang w:val="zh-CN"/>
        </w:rPr>
        <w:t>（二）资金计划、到位及使用情况</w:t>
      </w:r>
    </w:p>
    <w:p>
      <w:pPr>
        <w:adjustRightInd w:val="0"/>
        <w:snapToGrid w:val="0"/>
        <w:spacing w:line="59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sz w:val="32"/>
          <w:szCs w:val="32"/>
          <w:lang w:val="zh-CN"/>
        </w:rPr>
        <w:t>1、资金计划。县财政年初</w:t>
      </w:r>
      <w:r>
        <w:rPr>
          <w:rFonts w:hint="eastAsia" w:ascii="仿宋" w:hAnsi="仿宋" w:eastAsia="仿宋" w:cs="仿宋"/>
          <w:color w:val="333333"/>
          <w:sz w:val="32"/>
          <w:szCs w:val="32"/>
          <w:shd w:val="clear" w:color="auto" w:fill="FFFFFF"/>
        </w:rPr>
        <w:t>预算90万元，用于残疾儿童接受康复训练、辅具适配、康复手术等服务救助。</w:t>
      </w:r>
    </w:p>
    <w:p>
      <w:pPr>
        <w:adjustRightInd w:val="0"/>
        <w:snapToGrid w:val="0"/>
        <w:spacing w:line="59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lang w:val="zh-CN"/>
        </w:rPr>
        <w:t>2、资金到位。</w:t>
      </w:r>
      <w:r>
        <w:rPr>
          <w:rFonts w:hint="eastAsia" w:ascii="仿宋" w:hAnsi="仿宋" w:eastAsia="仿宋" w:cs="仿宋"/>
          <w:color w:val="333333"/>
          <w:sz w:val="32"/>
          <w:szCs w:val="32"/>
          <w:shd w:val="clear" w:color="auto" w:fill="FFFFFF"/>
        </w:rPr>
        <w:t>残疾儿童康复救助资金截至12月31日实际收入90万元，到位率100%。</w:t>
      </w:r>
    </w:p>
    <w:p>
      <w:pPr>
        <w:adjustRightInd w:val="0"/>
        <w:snapToGrid w:val="0"/>
        <w:spacing w:line="590" w:lineRule="exact"/>
        <w:ind w:firstLine="640" w:firstLineChars="200"/>
        <w:rPr>
          <w:rFonts w:ascii="仿宋" w:hAnsi="仿宋" w:eastAsia="仿宋" w:cs="仿宋"/>
          <w:color w:val="333333"/>
          <w:sz w:val="31"/>
          <w:szCs w:val="31"/>
          <w:shd w:val="clear" w:color="auto" w:fill="FFFFFF"/>
        </w:rPr>
      </w:pPr>
      <w:r>
        <w:rPr>
          <w:rFonts w:hint="eastAsia" w:ascii="仿宋" w:hAnsi="仿宋" w:eastAsia="仿宋" w:cs="仿宋"/>
          <w:sz w:val="32"/>
          <w:szCs w:val="32"/>
          <w:lang w:val="zh-CN"/>
        </w:rPr>
        <w:t>3、资金使用。</w:t>
      </w:r>
      <w:r>
        <w:rPr>
          <w:rFonts w:hint="eastAsia" w:ascii="仿宋" w:hAnsi="仿宋" w:eastAsia="仿宋" w:cs="仿宋"/>
          <w:color w:val="333333"/>
          <w:sz w:val="32"/>
          <w:szCs w:val="32"/>
          <w:shd w:val="clear" w:color="auto" w:fill="FFFFFF"/>
        </w:rPr>
        <w:t>残疾儿童康复救助资金截至12月31日实际支出90万元，支出率100%</w:t>
      </w:r>
      <w:r>
        <w:rPr>
          <w:rFonts w:hint="eastAsia" w:ascii="仿宋" w:hAnsi="仿宋" w:eastAsia="仿宋" w:cs="仿宋"/>
          <w:color w:val="333333"/>
          <w:sz w:val="31"/>
          <w:szCs w:val="31"/>
          <w:shd w:val="clear" w:color="auto" w:fill="FFFFFF"/>
        </w:rPr>
        <w:t>。</w:t>
      </w:r>
    </w:p>
    <w:p>
      <w:pPr>
        <w:adjustRightInd w:val="0"/>
        <w:snapToGrid w:val="0"/>
        <w:spacing w:line="590" w:lineRule="exact"/>
        <w:ind w:firstLine="642" w:firstLineChars="200"/>
        <w:outlineLvl w:val="2"/>
        <w:rPr>
          <w:rFonts w:ascii="楷体" w:hAnsi="楷体" w:eastAsia="楷体" w:cs="楷体"/>
          <w:b/>
          <w:sz w:val="32"/>
          <w:szCs w:val="32"/>
          <w:lang w:val="zh-CN"/>
        </w:rPr>
      </w:pPr>
      <w:r>
        <w:rPr>
          <w:rFonts w:hint="eastAsia" w:ascii="楷体" w:hAnsi="楷体" w:eastAsia="楷体" w:cs="楷体"/>
          <w:b/>
          <w:sz w:val="32"/>
          <w:szCs w:val="32"/>
          <w:lang w:val="zh-CN"/>
        </w:rPr>
        <w:t>（三）项目财务管理情况</w:t>
      </w:r>
    </w:p>
    <w:p>
      <w:pPr>
        <w:adjustRightInd w:val="0"/>
        <w:snapToGrid w:val="0"/>
        <w:spacing w:line="590" w:lineRule="exact"/>
        <w:ind w:firstLine="640" w:firstLineChars="200"/>
        <w:rPr>
          <w:rFonts w:ascii="仿宋" w:hAnsi="仿宋" w:eastAsia="仿宋" w:cs="仿宋"/>
          <w:color w:val="333333"/>
          <w:sz w:val="32"/>
          <w:szCs w:val="32"/>
          <w:shd w:val="clear" w:color="auto" w:fill="FFFFFF"/>
        </w:rPr>
      </w:pPr>
      <w:bookmarkStart w:id="202" w:name="_Toc13083"/>
      <w:bookmarkStart w:id="203" w:name="_Toc15100"/>
      <w:r>
        <w:rPr>
          <w:rFonts w:hint="eastAsia" w:ascii="仿宋" w:hAnsi="仿宋" w:eastAsia="仿宋" w:cs="仿宋"/>
          <w:color w:val="333333"/>
          <w:sz w:val="32"/>
          <w:szCs w:val="32"/>
          <w:shd w:val="clear" w:color="auto" w:fill="FFFFFF"/>
        </w:rPr>
        <w:t>加强监督管理。各项目实施机构均建立健全规章制度，严格履行申请审批手续，逐一审查核对申请材料,并通过实地查验、公示公告等形式严格把关，受理申请</w:t>
      </w:r>
      <w:r>
        <w:rPr>
          <w:rFonts w:hint="eastAsia" w:ascii="仿宋" w:hAnsi="仿宋" w:eastAsia="仿宋" w:cs="仿宋"/>
          <w:sz w:val="32"/>
          <w:szCs w:val="32"/>
          <w:shd w:val="clear" w:color="auto" w:fill="FFFFFF"/>
        </w:rPr>
        <w:t>不得</w:t>
      </w:r>
      <w:r>
        <w:rPr>
          <w:rFonts w:hint="eastAsia" w:ascii="仿宋" w:hAnsi="仿宋" w:eastAsia="仿宋" w:cs="仿宋"/>
          <w:color w:val="333333"/>
          <w:sz w:val="32"/>
          <w:szCs w:val="32"/>
          <w:shd w:val="clear" w:color="auto" w:fill="FFFFFF"/>
        </w:rPr>
        <w:t>收取任何费用。</w:t>
      </w:r>
    </w:p>
    <w:p>
      <w:pPr>
        <w:adjustRightInd w:val="0"/>
        <w:snapToGrid w:val="0"/>
        <w:spacing w:line="590" w:lineRule="exact"/>
        <w:ind w:firstLine="640" w:firstLineChars="200"/>
        <w:outlineLvl w:val="1"/>
        <w:rPr>
          <w:rFonts w:ascii="黑体" w:hAnsi="宋体" w:eastAsia="黑体"/>
          <w:sz w:val="32"/>
          <w:szCs w:val="32"/>
        </w:rPr>
      </w:pPr>
      <w:r>
        <w:rPr>
          <w:rFonts w:hint="eastAsia" w:ascii="黑体" w:hAnsi="宋体" w:eastAsia="黑体"/>
          <w:sz w:val="32"/>
          <w:szCs w:val="32"/>
        </w:rPr>
        <w:t>三、项目实施及管理情况</w:t>
      </w:r>
      <w:bookmarkEnd w:id="202"/>
      <w:bookmarkEnd w:id="203"/>
    </w:p>
    <w:p>
      <w:pPr>
        <w:spacing w:line="590" w:lineRule="exact"/>
        <w:ind w:firstLine="642" w:firstLineChars="200"/>
        <w:outlineLvl w:val="2"/>
        <w:rPr>
          <w:rFonts w:ascii="楷体" w:hAnsi="楷体" w:eastAsia="楷体" w:cs="楷体"/>
          <w:b/>
          <w:sz w:val="32"/>
          <w:szCs w:val="32"/>
          <w:lang w:val="zh-CN"/>
        </w:rPr>
      </w:pPr>
      <w:r>
        <w:rPr>
          <w:rFonts w:hint="eastAsia" w:ascii="楷体" w:hAnsi="楷体" w:eastAsia="楷体" w:cs="楷体"/>
          <w:b/>
          <w:sz w:val="32"/>
          <w:szCs w:val="32"/>
          <w:lang w:val="zh-CN"/>
        </w:rPr>
        <w:t>（一）</w:t>
      </w:r>
      <w:r>
        <w:rPr>
          <w:rFonts w:hint="eastAsia" w:ascii="楷体" w:hAnsi="楷体" w:eastAsia="楷体" w:cs="楷体"/>
          <w:b/>
          <w:sz w:val="32"/>
          <w:szCs w:val="32"/>
        </w:rPr>
        <w:t>项目</w:t>
      </w:r>
      <w:r>
        <w:rPr>
          <w:rFonts w:hint="eastAsia" w:ascii="楷体" w:hAnsi="楷体" w:eastAsia="楷体" w:cs="楷体"/>
          <w:b/>
          <w:sz w:val="32"/>
          <w:szCs w:val="32"/>
          <w:lang w:val="zh-CN"/>
        </w:rPr>
        <w:t>实施流程</w:t>
      </w:r>
    </w:p>
    <w:p>
      <w:pPr>
        <w:spacing w:line="590" w:lineRule="exact"/>
        <w:ind w:firstLine="640" w:firstLineChars="200"/>
        <w:rPr>
          <w:rFonts w:ascii="仿宋" w:hAnsi="仿宋" w:eastAsia="仿宋" w:cs="仿宋"/>
          <w:color w:val="000000"/>
          <w:kern w:val="0"/>
          <w:sz w:val="32"/>
          <w:szCs w:val="32"/>
        </w:rPr>
      </w:pPr>
      <w:r>
        <w:rPr>
          <w:rFonts w:hint="eastAsia" w:ascii="仿宋" w:hAnsi="仿宋" w:eastAsia="仿宋" w:cs="仿宋"/>
          <w:bCs/>
          <w:sz w:val="32"/>
          <w:szCs w:val="32"/>
        </w:rPr>
        <w:t>1、</w:t>
      </w:r>
      <w:r>
        <w:rPr>
          <w:rFonts w:hint="eastAsia" w:ascii="仿宋" w:hAnsi="仿宋" w:eastAsia="仿宋" w:cs="仿宋"/>
          <w:color w:val="000000"/>
          <w:kern w:val="0"/>
          <w:sz w:val="32"/>
          <w:szCs w:val="32"/>
        </w:rPr>
        <w:t>残疾儿童监护人携带残疾儿童户口簿、医疗机构诊断证明到户籍所在街镇残联提出申请并填写《岳池县残疾儿童救助申领表》街镇对申请任进行初步审核。</w:t>
      </w:r>
    </w:p>
    <w:p>
      <w:pPr>
        <w:spacing w:line="59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2、县残联根据评估结论及街镇残联的审核意见，向符合条件的残疾儿童发放申请表，同时将残疾儿童的相关信息录入0-14岁残疾儿童少年康复信息管理数据库，进行信息化管理。</w:t>
      </w:r>
    </w:p>
    <w:p>
      <w:pPr>
        <w:spacing w:line="59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3、残疾儿童持表在县残联定点的专业康复机构中进行康复训练，康复机构要为收训的残疾儿童建立完成的康复服务档案（一人一档），内容包括康复计划、康复记录、康复小结以及康复前期、中期、后期的评估。同时，每半年或在残疾儿童离训时在残疾儿童档案中填写康复评估小结。</w:t>
      </w:r>
    </w:p>
    <w:p>
      <w:pPr>
        <w:spacing w:line="590" w:lineRule="exact"/>
        <w:ind w:firstLine="640" w:firstLineChars="200"/>
        <w:rPr>
          <w:rFonts w:ascii="仿宋_GB2312" w:eastAsia="仿宋_GB2312" w:cs="仿宋"/>
          <w:color w:val="000000"/>
          <w:kern w:val="0"/>
          <w:sz w:val="32"/>
          <w:szCs w:val="32"/>
        </w:rPr>
      </w:pPr>
      <w:r>
        <w:rPr>
          <w:rFonts w:hint="eastAsia" w:ascii="仿宋" w:hAnsi="仿宋" w:eastAsia="仿宋" w:cs="仿宋"/>
          <w:sz w:val="32"/>
          <w:szCs w:val="32"/>
        </w:rPr>
        <w:t>4、</w:t>
      </w:r>
      <w:r>
        <w:rPr>
          <w:rFonts w:hint="eastAsia" w:ascii="仿宋" w:hAnsi="仿宋" w:eastAsia="仿宋" w:cs="仿宋"/>
          <w:color w:val="000000"/>
          <w:kern w:val="0"/>
          <w:sz w:val="32"/>
          <w:szCs w:val="32"/>
        </w:rPr>
        <w:t>结算方式。补贴经费每半年报销一次，时间为每年</w:t>
      </w:r>
      <w:r>
        <w:rPr>
          <w:rFonts w:hint="eastAsia" w:ascii="仿宋_GB2312" w:eastAsia="仿宋_GB2312" w:cs="仿宋"/>
          <w:color w:val="000000"/>
          <w:kern w:val="0"/>
          <w:sz w:val="32"/>
          <w:szCs w:val="32"/>
        </w:rPr>
        <w:t>6月上旬和12月上旬，根据残疾儿童上报康复训练发票符合一例补助一例。</w:t>
      </w:r>
    </w:p>
    <w:p>
      <w:pPr>
        <w:adjustRightInd w:val="0"/>
        <w:snapToGrid w:val="0"/>
        <w:spacing w:line="590" w:lineRule="exact"/>
        <w:ind w:firstLine="642" w:firstLineChars="200"/>
        <w:rPr>
          <w:rFonts w:ascii="仿宋_GB2312" w:eastAsia="仿宋_GB2312" w:cs="仿宋"/>
          <w:color w:val="000000"/>
          <w:kern w:val="0"/>
          <w:sz w:val="32"/>
          <w:szCs w:val="32"/>
          <w:lang w:val="zh-CN"/>
        </w:rPr>
      </w:pPr>
      <w:r>
        <w:rPr>
          <w:rFonts w:hint="eastAsia" w:ascii="楷体" w:hAnsi="楷体" w:eastAsia="楷体" w:cs="楷体"/>
          <w:b/>
          <w:sz w:val="32"/>
          <w:szCs w:val="32"/>
          <w:lang w:val="zh-CN"/>
        </w:rPr>
        <w:t>（二）项目管理情况。</w:t>
      </w:r>
      <w:r>
        <w:rPr>
          <w:rFonts w:hint="eastAsia" w:ascii="仿宋_GB2312" w:eastAsia="仿宋_GB2312" w:cs="仿宋"/>
          <w:color w:val="000000"/>
          <w:kern w:val="0"/>
          <w:sz w:val="32"/>
          <w:szCs w:val="32"/>
          <w:lang w:val="zh-CN"/>
        </w:rPr>
        <w:t>明确部门责任。</w:t>
      </w:r>
      <w:r>
        <w:rPr>
          <w:rFonts w:hint="eastAsia" w:ascii="仿宋_GB2312" w:eastAsia="仿宋_GB2312" w:cs="仿宋"/>
          <w:color w:val="000000"/>
          <w:kern w:val="0"/>
          <w:sz w:val="32"/>
          <w:szCs w:val="32"/>
        </w:rPr>
        <w:t>县</w:t>
      </w:r>
      <w:r>
        <w:rPr>
          <w:rFonts w:hint="eastAsia" w:ascii="仿宋_GB2312" w:eastAsia="仿宋_GB2312" w:cs="仿宋"/>
          <w:color w:val="000000"/>
          <w:kern w:val="0"/>
          <w:sz w:val="32"/>
          <w:szCs w:val="32"/>
          <w:lang w:val="zh-CN"/>
        </w:rPr>
        <w:t>残联负责机构评审、协调指导等工作。</w:t>
      </w:r>
      <w:r>
        <w:rPr>
          <w:rFonts w:hint="eastAsia" w:ascii="仿宋_GB2312" w:eastAsia="仿宋_GB2312" w:cs="仿宋"/>
          <w:color w:val="000000"/>
          <w:kern w:val="0"/>
          <w:sz w:val="32"/>
          <w:szCs w:val="32"/>
        </w:rPr>
        <w:t>县</w:t>
      </w:r>
      <w:r>
        <w:rPr>
          <w:rFonts w:hint="eastAsia" w:ascii="仿宋_GB2312" w:eastAsia="仿宋_GB2312" w:cs="仿宋"/>
          <w:color w:val="000000"/>
          <w:kern w:val="0"/>
          <w:sz w:val="32"/>
          <w:szCs w:val="32"/>
          <w:lang w:val="zh-CN"/>
        </w:rPr>
        <w:t>财政局负责按计划安排拨付资金，监督检查专项经费的使用，参与项目的检查验收工作。县</w:t>
      </w:r>
      <w:r>
        <w:rPr>
          <w:rFonts w:hint="eastAsia" w:ascii="仿宋_GB2312" w:eastAsia="仿宋_GB2312" w:cs="仿宋"/>
          <w:color w:val="000000"/>
          <w:kern w:val="0"/>
          <w:sz w:val="32"/>
          <w:szCs w:val="32"/>
        </w:rPr>
        <w:t>残联</w:t>
      </w:r>
      <w:r>
        <w:rPr>
          <w:rFonts w:hint="eastAsia" w:ascii="仿宋_GB2312" w:eastAsia="仿宋_GB2312" w:cs="仿宋"/>
          <w:color w:val="000000"/>
          <w:kern w:val="0"/>
          <w:sz w:val="32"/>
          <w:szCs w:val="32"/>
          <w:lang w:val="zh-CN"/>
        </w:rPr>
        <w:t>负责按指标拨付补助资金，做好受助残童的审查确定工作;做好康复机构和受助残童的跟踪回访和服务工作，保质保量按时完成任务。其他有关部门按职能配合做好相关工作。</w:t>
      </w:r>
    </w:p>
    <w:p>
      <w:pPr>
        <w:adjustRightInd w:val="0"/>
        <w:snapToGrid w:val="0"/>
        <w:spacing w:line="590" w:lineRule="exact"/>
        <w:ind w:firstLine="642" w:firstLineChars="200"/>
        <w:rPr>
          <w:rFonts w:ascii="仿宋_GB2312" w:eastAsia="仿宋_GB2312" w:cs="仿宋"/>
          <w:color w:val="000000"/>
          <w:kern w:val="0"/>
          <w:sz w:val="32"/>
          <w:szCs w:val="32"/>
          <w:lang w:val="zh-CN"/>
        </w:rPr>
      </w:pPr>
      <w:r>
        <w:rPr>
          <w:rFonts w:hint="eastAsia" w:ascii="楷体" w:hAnsi="楷体" w:eastAsia="楷体" w:cs="楷体"/>
          <w:b/>
          <w:sz w:val="32"/>
          <w:szCs w:val="32"/>
          <w:lang w:val="zh-CN"/>
        </w:rPr>
        <w:t>（三）项目监管情况。</w:t>
      </w:r>
      <w:r>
        <w:rPr>
          <w:rFonts w:hint="eastAsia" w:ascii="仿宋_GB2312" w:eastAsia="仿宋_GB2312" w:cs="仿宋"/>
          <w:color w:val="000000"/>
          <w:kern w:val="0"/>
          <w:sz w:val="32"/>
          <w:szCs w:val="32"/>
          <w:lang w:val="zh-CN"/>
        </w:rPr>
        <w:t>项目资金支出及拨付完全合规，凡资助方案确定后，均及时把资金发放到位，不截留、挪用。我会还不定期组织对实施机构资金使用情况进行专项检查。 </w:t>
      </w:r>
    </w:p>
    <w:p>
      <w:pPr>
        <w:adjustRightInd w:val="0"/>
        <w:snapToGrid w:val="0"/>
        <w:spacing w:line="590" w:lineRule="exact"/>
        <w:ind w:firstLine="640" w:firstLineChars="200"/>
        <w:outlineLvl w:val="1"/>
        <w:rPr>
          <w:rFonts w:ascii="黑体" w:hAnsi="黑体" w:eastAsia="黑体" w:cs="黑体"/>
          <w:sz w:val="32"/>
          <w:szCs w:val="32"/>
          <w:lang w:val="zh-CN"/>
        </w:rPr>
      </w:pPr>
      <w:bookmarkStart w:id="204" w:name="_Toc21150"/>
      <w:bookmarkStart w:id="205" w:name="_Toc22889"/>
      <w:r>
        <w:rPr>
          <w:rFonts w:hint="eastAsia" w:ascii="黑体" w:hAnsi="黑体" w:eastAsia="黑体" w:cs="黑体"/>
          <w:sz w:val="32"/>
          <w:szCs w:val="32"/>
        </w:rPr>
        <w:t>四、项目绩效情况</w:t>
      </w:r>
      <w:bookmarkEnd w:id="204"/>
      <w:bookmarkEnd w:id="205"/>
      <w:r>
        <w:rPr>
          <w:rFonts w:hint="eastAsia" w:ascii="黑体" w:hAnsi="黑体" w:eastAsia="黑体" w:cs="黑体"/>
          <w:sz w:val="32"/>
          <w:szCs w:val="32"/>
          <w:lang w:val="zh-CN"/>
        </w:rPr>
        <w:tab/>
      </w:r>
    </w:p>
    <w:p>
      <w:pPr>
        <w:adjustRightInd w:val="0"/>
        <w:snapToGrid w:val="0"/>
        <w:spacing w:line="590" w:lineRule="exact"/>
        <w:ind w:firstLine="642" w:firstLineChars="200"/>
        <w:outlineLvl w:val="2"/>
        <w:rPr>
          <w:rFonts w:ascii="楷体" w:hAnsi="楷体" w:eastAsia="楷体" w:cs="楷体"/>
          <w:b/>
          <w:sz w:val="32"/>
          <w:szCs w:val="32"/>
          <w:lang w:val="zh-CN"/>
        </w:rPr>
      </w:pPr>
      <w:r>
        <w:rPr>
          <w:rFonts w:hint="eastAsia" w:ascii="楷体" w:hAnsi="楷体" w:eastAsia="楷体" w:cs="楷体"/>
          <w:b/>
          <w:sz w:val="32"/>
          <w:szCs w:val="32"/>
          <w:lang w:val="zh-CN"/>
        </w:rPr>
        <w:t>（一）项目完成情况。</w:t>
      </w:r>
    </w:p>
    <w:p>
      <w:pPr>
        <w:adjustRightInd w:val="0"/>
        <w:snapToGrid w:val="0"/>
        <w:spacing w:line="590" w:lineRule="exact"/>
        <w:ind w:firstLine="640" w:firstLineChars="200"/>
        <w:rPr>
          <w:rFonts w:ascii="仿宋" w:hAnsi="仿宋" w:eastAsia="仿宋" w:cs="仿宋"/>
          <w:b/>
          <w:sz w:val="32"/>
          <w:szCs w:val="32"/>
        </w:rPr>
      </w:pPr>
      <w:r>
        <w:rPr>
          <w:rFonts w:hint="eastAsia" w:ascii="仿宋" w:hAnsi="仿宋" w:eastAsia="仿宋" w:cs="仿宋"/>
          <w:sz w:val="32"/>
          <w:szCs w:val="32"/>
        </w:rPr>
        <w:t>全县救助残疾人儿童目标任务数60名，实际完成任务60名，完成率100%。</w:t>
      </w:r>
    </w:p>
    <w:p>
      <w:pPr>
        <w:numPr>
          <w:ilvl w:val="0"/>
          <w:numId w:val="3"/>
        </w:numPr>
        <w:adjustRightInd w:val="0"/>
        <w:snapToGrid w:val="0"/>
        <w:spacing w:line="590" w:lineRule="exact"/>
        <w:ind w:firstLine="642" w:firstLineChars="200"/>
        <w:outlineLvl w:val="2"/>
        <w:rPr>
          <w:rFonts w:ascii="楷体" w:hAnsi="楷体" w:eastAsia="楷体" w:cs="楷体"/>
          <w:b/>
          <w:sz w:val="32"/>
          <w:szCs w:val="32"/>
          <w:lang w:val="zh-CN"/>
        </w:rPr>
      </w:pPr>
      <w:r>
        <w:rPr>
          <w:rFonts w:hint="eastAsia" w:ascii="楷体" w:hAnsi="楷体" w:eastAsia="楷体" w:cs="楷体"/>
          <w:b/>
          <w:sz w:val="32"/>
          <w:szCs w:val="32"/>
          <w:lang w:val="zh-CN"/>
        </w:rPr>
        <w:t>项目效益情况。</w:t>
      </w:r>
    </w:p>
    <w:p>
      <w:pPr>
        <w:pStyle w:val="2"/>
        <w:spacing w:beforeLines="0" w:line="590" w:lineRule="exact"/>
        <w:ind w:firstLine="640" w:firstLineChars="200"/>
        <w:rPr>
          <w:rFonts w:ascii="仿宋" w:hAnsi="仿宋" w:eastAsia="仿宋" w:cs="仿宋"/>
          <w:kern w:val="2"/>
          <w:sz w:val="32"/>
          <w:szCs w:val="32"/>
          <w:lang w:val="zh-CN"/>
        </w:rPr>
      </w:pPr>
      <w:r>
        <w:rPr>
          <w:rFonts w:hint="eastAsia" w:ascii="仿宋" w:hAnsi="仿宋" w:eastAsia="仿宋" w:cs="仿宋"/>
          <w:kern w:val="2"/>
          <w:sz w:val="32"/>
          <w:szCs w:val="32"/>
          <w:lang w:val="zh-CN"/>
        </w:rPr>
        <w:t>通过康复救助的实施，着力保障了经济困难家庭残疾儿童能够得到最基本的康复救助服务，使受助家庭对国家保障和改善民生充分肯定，对减轻残疾给家庭和社会造成的经济负担具有重大意义。</w:t>
      </w:r>
    </w:p>
    <w:p>
      <w:pPr>
        <w:adjustRightInd w:val="0"/>
        <w:snapToGrid w:val="0"/>
        <w:spacing w:line="590" w:lineRule="exact"/>
        <w:ind w:firstLine="640" w:firstLineChars="200"/>
        <w:outlineLvl w:val="1"/>
        <w:rPr>
          <w:rFonts w:ascii="黑体" w:hAnsi="黑体" w:eastAsia="黑体" w:cs="黑体"/>
          <w:sz w:val="32"/>
          <w:szCs w:val="32"/>
          <w:lang w:val="zh-CN"/>
        </w:rPr>
      </w:pPr>
      <w:r>
        <w:rPr>
          <w:rFonts w:hint="eastAsia" w:ascii="黑体" w:hAnsi="黑体" w:eastAsia="黑体" w:cs="黑体"/>
          <w:sz w:val="32"/>
          <w:szCs w:val="32"/>
          <w:lang w:val="zh-CN"/>
        </w:rPr>
        <w:t>五、评价结论及建议</w:t>
      </w:r>
    </w:p>
    <w:p>
      <w:pPr>
        <w:numPr>
          <w:ilvl w:val="0"/>
          <w:numId w:val="4"/>
        </w:numPr>
        <w:adjustRightInd w:val="0"/>
        <w:snapToGrid w:val="0"/>
        <w:spacing w:line="590" w:lineRule="exact"/>
        <w:ind w:firstLine="642" w:firstLineChars="200"/>
        <w:outlineLvl w:val="2"/>
        <w:rPr>
          <w:rFonts w:ascii="楷体" w:hAnsi="楷体" w:eastAsia="楷体" w:cs="楷体"/>
          <w:b/>
          <w:sz w:val="32"/>
          <w:szCs w:val="32"/>
          <w:lang w:val="zh-CN"/>
        </w:rPr>
      </w:pPr>
      <w:r>
        <w:rPr>
          <w:rFonts w:hint="eastAsia" w:ascii="楷体" w:hAnsi="楷体" w:eastAsia="楷体" w:cs="楷体"/>
          <w:b/>
          <w:sz w:val="32"/>
          <w:szCs w:val="32"/>
          <w:lang w:val="zh-CN"/>
        </w:rPr>
        <w:t>评价结论。</w:t>
      </w:r>
    </w:p>
    <w:p>
      <w:pPr>
        <w:pStyle w:val="2"/>
        <w:spacing w:beforeLines="0" w:line="590" w:lineRule="exact"/>
        <w:ind w:firstLine="640" w:firstLineChars="200"/>
        <w:rPr>
          <w:rFonts w:ascii="仿宋" w:hAnsi="仿宋" w:eastAsia="仿宋" w:cs="仿宋"/>
          <w:kern w:val="2"/>
          <w:sz w:val="32"/>
          <w:szCs w:val="32"/>
          <w:lang w:val="zh-CN"/>
        </w:rPr>
      </w:pPr>
      <w:r>
        <w:rPr>
          <w:rFonts w:hint="eastAsia" w:ascii="仿宋" w:hAnsi="仿宋" w:eastAsia="仿宋" w:cs="仿宋"/>
          <w:kern w:val="2"/>
          <w:sz w:val="32"/>
          <w:szCs w:val="32"/>
          <w:lang w:val="zh-CN"/>
        </w:rPr>
        <w:t>该项目深得残童家庭以及全社会的普遍好评，认为通过该项目实施真正让家庭经济困难的残疾儿童得到了抢救性康复，增加了他们参与社会的能力，享受到了党和政府的温暖。</w:t>
      </w:r>
    </w:p>
    <w:p>
      <w:pPr>
        <w:adjustRightInd w:val="0"/>
        <w:snapToGrid w:val="0"/>
        <w:spacing w:line="590" w:lineRule="exact"/>
        <w:ind w:firstLine="642" w:firstLineChars="200"/>
        <w:outlineLvl w:val="2"/>
        <w:rPr>
          <w:rFonts w:ascii="楷体" w:hAnsi="楷体" w:eastAsia="楷体" w:cs="楷体"/>
          <w:b/>
          <w:sz w:val="32"/>
          <w:szCs w:val="32"/>
          <w:lang w:val="zh-CN"/>
        </w:rPr>
      </w:pPr>
      <w:r>
        <w:rPr>
          <w:rFonts w:hint="eastAsia" w:ascii="楷体" w:hAnsi="楷体" w:eastAsia="楷体" w:cs="楷体"/>
          <w:b/>
          <w:sz w:val="32"/>
          <w:szCs w:val="32"/>
          <w:lang w:val="zh-CN"/>
        </w:rPr>
        <w:t>（二）存在的问题。</w:t>
      </w:r>
    </w:p>
    <w:p>
      <w:pPr>
        <w:adjustRightInd w:val="0"/>
        <w:snapToGrid w:val="0"/>
        <w:spacing w:line="590" w:lineRule="exact"/>
        <w:ind w:firstLine="640" w:firstLineChars="200"/>
        <w:rPr>
          <w:rFonts w:ascii="仿宋_GB2312" w:hAnsi="宋体" w:eastAsia="仿宋_GB2312"/>
          <w:sz w:val="32"/>
          <w:szCs w:val="32"/>
          <w:lang w:val="zh-CN"/>
        </w:rPr>
      </w:pPr>
      <w:r>
        <w:rPr>
          <w:rFonts w:hint="eastAsia" w:ascii="仿宋" w:hAnsi="仿宋" w:eastAsia="仿宋" w:cs="仿宋"/>
          <w:sz w:val="32"/>
          <w:szCs w:val="32"/>
        </w:rPr>
        <w:t>残疾儿童异地康复训练过程监管难</w:t>
      </w:r>
      <w:r>
        <w:rPr>
          <w:rFonts w:hint="eastAsia" w:ascii="仿宋" w:hAnsi="仿宋" w:eastAsia="仿宋" w:cs="仿宋"/>
          <w:sz w:val="32"/>
          <w:szCs w:val="32"/>
          <w:lang w:val="zh-CN"/>
        </w:rPr>
        <w:t>。</w:t>
      </w:r>
      <w:r>
        <w:rPr>
          <w:rFonts w:hint="eastAsia" w:ascii="仿宋_GB2312" w:hAnsi="宋体" w:eastAsia="仿宋_GB2312"/>
          <w:sz w:val="32"/>
          <w:szCs w:val="32"/>
          <w:lang w:val="zh-CN"/>
        </w:rPr>
        <w:tab/>
      </w:r>
    </w:p>
    <w:p>
      <w:pPr>
        <w:adjustRightInd w:val="0"/>
        <w:snapToGrid w:val="0"/>
        <w:spacing w:line="590" w:lineRule="exact"/>
        <w:ind w:firstLine="642" w:firstLineChars="200"/>
        <w:outlineLvl w:val="2"/>
        <w:rPr>
          <w:rFonts w:ascii="楷体" w:hAnsi="楷体" w:eastAsia="楷体" w:cs="楷体"/>
          <w:b/>
          <w:sz w:val="32"/>
          <w:szCs w:val="32"/>
          <w:lang w:val="zh-CN"/>
        </w:rPr>
      </w:pPr>
      <w:r>
        <w:rPr>
          <w:rFonts w:hint="eastAsia" w:ascii="楷体" w:hAnsi="楷体" w:eastAsia="楷体" w:cs="楷体"/>
          <w:b/>
          <w:sz w:val="32"/>
          <w:szCs w:val="32"/>
          <w:lang w:val="zh-CN"/>
        </w:rPr>
        <w:t>（三）相关建议。</w:t>
      </w:r>
    </w:p>
    <w:p>
      <w:pPr>
        <w:pStyle w:val="2"/>
        <w:spacing w:beforeLines="0" w:line="590" w:lineRule="exact"/>
        <w:ind w:firstLine="640" w:firstLineChars="200"/>
        <w:rPr>
          <w:rFonts w:ascii="Times New Roman"/>
          <w:b/>
          <w:bCs/>
          <w:color w:val="FF0000"/>
        </w:rPr>
      </w:pPr>
      <w:r>
        <w:rPr>
          <w:rFonts w:hint="eastAsia" w:ascii="仿宋" w:hAnsi="仿宋" w:eastAsia="仿宋" w:cs="仿宋"/>
          <w:kern w:val="2"/>
          <w:sz w:val="32"/>
          <w:szCs w:val="32"/>
          <w:lang w:val="zh-CN"/>
        </w:rPr>
        <w:t>政策建议：“残童康复救助”项目已扩大项目救助年龄范围,从0-6岁视力、听力、精神残疾儿童扩大到0-14岁，提高救助标准。</w:t>
      </w:r>
    </w:p>
    <w:tbl>
      <w:tblPr>
        <w:tblStyle w:val="14"/>
        <w:tblW w:w="0" w:type="auto"/>
        <w:tblInd w:w="0" w:type="dxa"/>
        <w:tblLayout w:type="autofit"/>
        <w:tblCellMar>
          <w:top w:w="0" w:type="dxa"/>
          <w:left w:w="108" w:type="dxa"/>
          <w:bottom w:w="0" w:type="dxa"/>
          <w:right w:w="108" w:type="dxa"/>
        </w:tblCellMar>
      </w:tblPr>
      <w:tblGrid>
        <w:gridCol w:w="755"/>
        <w:gridCol w:w="777"/>
        <w:gridCol w:w="680"/>
        <w:gridCol w:w="742"/>
        <w:gridCol w:w="469"/>
        <w:gridCol w:w="622"/>
        <w:gridCol w:w="469"/>
        <w:gridCol w:w="889"/>
        <w:gridCol w:w="538"/>
        <w:gridCol w:w="539"/>
        <w:gridCol w:w="2042"/>
      </w:tblGrid>
      <w:tr>
        <w:tblPrEx>
          <w:tblCellMar>
            <w:top w:w="0" w:type="dxa"/>
            <w:left w:w="108" w:type="dxa"/>
            <w:bottom w:w="0" w:type="dxa"/>
            <w:right w:w="108" w:type="dxa"/>
          </w:tblCellMar>
        </w:tblPrEx>
        <w:trPr>
          <w:trHeight w:val="37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Cs w:val="21"/>
              </w:rPr>
            </w:pPr>
            <w:r>
              <w:rPr>
                <w:rFonts w:ascii="宋体" w:hAnsi="宋体" w:cs="宋体"/>
                <w:color w:val="000000"/>
                <w:kern w:val="0"/>
                <w:sz w:val="18"/>
                <w:szCs w:val="18"/>
              </w:rPr>
              <w:t>残疾儿童康复</w:t>
            </w:r>
          </w:p>
        </w:tc>
      </w:tr>
      <w:tr>
        <w:tblPrEx>
          <w:tblCellMar>
            <w:top w:w="0" w:type="dxa"/>
            <w:left w:w="108" w:type="dxa"/>
            <w:bottom w:w="0" w:type="dxa"/>
            <w:right w:w="108" w:type="dxa"/>
          </w:tblCellMar>
        </w:tblPrEx>
        <w:trPr>
          <w:trHeight w:val="4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Cs w:val="21"/>
              </w:rPr>
            </w:pPr>
            <w:r>
              <w:rPr>
                <w:rFonts w:ascii="宋体" w:hAnsi="宋体" w:cs="宋体"/>
                <w:color w:val="000000"/>
                <w:kern w:val="0"/>
                <w:sz w:val="18"/>
                <w:szCs w:val="18"/>
              </w:rPr>
              <w:t>岳池县残疾人联合会</w:t>
            </w:r>
          </w:p>
        </w:tc>
        <w:tc>
          <w:tcPr>
            <w:tcW w:w="0" w:type="auto"/>
            <w:tcBorders>
              <w:top w:val="nil"/>
              <w:left w:val="nil"/>
              <w:bottom w:val="nil"/>
              <w:right w:val="nil"/>
            </w:tcBorders>
            <w:shd w:val="clear" w:color="auto" w:fill="auto"/>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 xml:space="preserve">实施单位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ascii="宋体" w:hAnsi="宋体" w:cs="宋体"/>
                <w:color w:val="000000"/>
                <w:kern w:val="0"/>
                <w:sz w:val="18"/>
                <w:szCs w:val="18"/>
              </w:rPr>
              <w:t>岳池县残疾人联合会</w:t>
            </w:r>
          </w:p>
        </w:tc>
      </w:tr>
      <w:tr>
        <w:tblPrEx>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年度目标完成情况</w:t>
            </w:r>
          </w:p>
        </w:tc>
      </w:tr>
      <w:tr>
        <w:tblPrEx>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eastAsiaTheme="minorEastAsia" w:cstheme="minorEastAsia"/>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eastAsiaTheme="minorEastAsia" w:cstheme="minorEastAsia"/>
                <w:color w:val="000000"/>
                <w:szCs w:val="21"/>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Cs w:val="21"/>
              </w:rPr>
            </w:pPr>
            <w:r>
              <w:rPr>
                <w:rFonts w:ascii="宋体" w:hAnsi="宋体" w:cs="宋体"/>
                <w:color w:val="000000"/>
                <w:kern w:val="0"/>
                <w:sz w:val="18"/>
                <w:szCs w:val="18"/>
              </w:rPr>
              <w:t>为</w:t>
            </w:r>
            <w:r>
              <w:rPr>
                <w:rFonts w:hint="eastAsia" w:ascii="宋体" w:hAnsi="宋体" w:cs="宋体"/>
                <w:color w:val="000000"/>
                <w:kern w:val="0"/>
                <w:sz w:val="18"/>
                <w:szCs w:val="18"/>
              </w:rPr>
              <w:t>60</w:t>
            </w:r>
            <w:r>
              <w:rPr>
                <w:rFonts w:ascii="宋体" w:hAnsi="宋体" w:cs="宋体"/>
                <w:color w:val="000000"/>
                <w:kern w:val="0"/>
                <w:sz w:val="18"/>
                <w:szCs w:val="18"/>
              </w:rPr>
              <w:t>名残疾儿童提供免费康复服务，减轻家庭经济负担，让他们早日回归社会。</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Cs w:val="21"/>
              </w:rPr>
            </w:pPr>
            <w:r>
              <w:rPr>
                <w:rFonts w:ascii="宋体" w:hAnsi="宋体" w:cs="宋体"/>
                <w:color w:val="000000"/>
                <w:kern w:val="0"/>
                <w:sz w:val="18"/>
                <w:szCs w:val="18"/>
              </w:rPr>
              <w:t>为</w:t>
            </w:r>
            <w:r>
              <w:rPr>
                <w:rFonts w:hint="eastAsia" w:ascii="宋体" w:hAnsi="宋体" w:cs="宋体"/>
                <w:color w:val="000000"/>
                <w:kern w:val="0"/>
                <w:sz w:val="18"/>
                <w:szCs w:val="18"/>
              </w:rPr>
              <w:t>6</w:t>
            </w:r>
            <w:r>
              <w:rPr>
                <w:rFonts w:ascii="宋体" w:hAnsi="宋体" w:cs="宋体"/>
                <w:color w:val="000000"/>
                <w:kern w:val="0"/>
                <w:sz w:val="18"/>
                <w:szCs w:val="18"/>
              </w:rPr>
              <w:t>0名残疾儿童提供免费康复服务，减轻家庭经济负担，让他们早日回归社会。</w:t>
            </w:r>
          </w:p>
        </w:tc>
      </w:tr>
      <w:tr>
        <w:tblPrEx>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eastAsia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eastAsiaTheme="minorEastAsia" w:cstheme="minorEastAsia"/>
                <w:color w:val="000000"/>
                <w:szCs w:val="21"/>
              </w:rPr>
            </w:pPr>
            <w:r>
              <w:rPr>
                <w:rFonts w:ascii="宋体" w:hAnsi="宋体" w:cs="宋体"/>
                <w:color w:val="000000"/>
                <w:kern w:val="0"/>
                <w:sz w:val="18"/>
                <w:szCs w:val="18"/>
              </w:rPr>
              <w:t>通过乡镇（街道）残联初审，县残联审批方式，</w:t>
            </w:r>
            <w:r>
              <w:rPr>
                <w:rFonts w:hint="eastAsia" w:ascii="宋体" w:hAnsi="宋体" w:cs="宋体"/>
                <w:color w:val="000000"/>
                <w:kern w:val="0"/>
                <w:sz w:val="18"/>
                <w:szCs w:val="18"/>
              </w:rPr>
              <w:t>根据儿童监护人自愿</w:t>
            </w:r>
            <w:r>
              <w:rPr>
                <w:rFonts w:ascii="宋体" w:hAnsi="宋体" w:cs="宋体"/>
                <w:color w:val="000000"/>
                <w:kern w:val="0"/>
                <w:sz w:val="18"/>
                <w:szCs w:val="18"/>
              </w:rPr>
              <w:t>转介</w:t>
            </w:r>
            <w:r>
              <w:rPr>
                <w:rFonts w:hint="eastAsia" w:ascii="宋体" w:hAnsi="宋体" w:cs="宋体"/>
                <w:color w:val="000000"/>
                <w:kern w:val="0"/>
                <w:sz w:val="18"/>
                <w:szCs w:val="18"/>
              </w:rPr>
              <w:t>60</w:t>
            </w:r>
            <w:r>
              <w:rPr>
                <w:rFonts w:ascii="宋体" w:hAnsi="宋体" w:cs="宋体"/>
                <w:color w:val="000000"/>
                <w:kern w:val="0"/>
                <w:sz w:val="18"/>
                <w:szCs w:val="18"/>
              </w:rPr>
              <w:t>名0-6岁智力、听力、言语、孤独症残疾儿童，0-14岁肢体残疾儿童至县内外定点服务机构接受康复训练、辅具适配、康复手术等服务。</w:t>
            </w:r>
          </w:p>
        </w:tc>
      </w:tr>
      <w:tr>
        <w:tblPrEx>
          <w:tblCellMar>
            <w:top w:w="0" w:type="dxa"/>
            <w:left w:w="108" w:type="dxa"/>
            <w:bottom w:w="0" w:type="dxa"/>
            <w:right w:w="108" w:type="dxa"/>
          </w:tblCellMar>
        </w:tblPrEx>
        <w:trPr>
          <w:trHeight w:val="70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原因</w:t>
            </w:r>
          </w:p>
        </w:tc>
      </w:tr>
      <w:tr>
        <w:tblPrEx>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111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未完成原因分析</w:t>
            </w:r>
          </w:p>
        </w:tc>
      </w:tr>
      <w:tr>
        <w:tblPrEx>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得到康复的残疾人数量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康复救助完成时限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2022年12月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2022年12月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残疾儿童得到康复回归社会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28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Cs w:val="21"/>
              </w:rPr>
            </w:pPr>
            <w:r>
              <w:rPr>
                <w:rFonts w:hint="eastAsia" w:ascii="微软雅黑" w:hAnsi="微软雅黑" w:eastAsia="微软雅黑" w:cs="微软雅黑"/>
                <w:color w:val="000000"/>
                <w:kern w:val="0"/>
                <w:sz w:val="16"/>
                <w:szCs w:val="16"/>
              </w:rPr>
              <w:t>自评得分100分，儿童康复效果明显，家庭满意度95%以上。</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Cs w:val="21"/>
              </w:rPr>
            </w:pPr>
            <w:r>
              <w:rPr>
                <w:rFonts w:hint="eastAsia" w:ascii="微软雅黑" w:hAnsi="微软雅黑" w:eastAsia="微软雅黑" w:cs="微软雅黑"/>
                <w:color w:val="000000"/>
                <w:sz w:val="16"/>
                <w:szCs w:val="16"/>
              </w:rPr>
              <w:t>无</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Cs w:val="21"/>
              </w:rPr>
            </w:pPr>
            <w:r>
              <w:rPr>
                <w:rFonts w:hint="eastAsia" w:ascii="微软雅黑" w:hAnsi="微软雅黑" w:eastAsia="微软雅黑" w:cs="微软雅黑"/>
                <w:color w:val="000000"/>
                <w:sz w:val="16"/>
                <w:szCs w:val="16"/>
              </w:rPr>
              <w:t>无</w:t>
            </w:r>
          </w:p>
        </w:tc>
      </w:tr>
      <w:tr>
        <w:tblPrEx>
          <w:tblCellMar>
            <w:top w:w="0" w:type="dxa"/>
            <w:left w:w="108" w:type="dxa"/>
            <w:bottom w:w="0" w:type="dxa"/>
            <w:right w:w="108" w:type="dxa"/>
          </w:tblCellMar>
        </w:tblPrEx>
        <w:trPr>
          <w:trHeight w:val="2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项目负责人：张兴福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财务负责人：</w:t>
            </w:r>
            <w:r>
              <w:rPr>
                <w:rFonts w:hint="eastAsia" w:ascii="黑体" w:hAnsi="黑体" w:eastAsia="黑体" w:cs="黑体"/>
                <w:color w:val="000000"/>
                <w:kern w:val="0"/>
                <w:sz w:val="18"/>
                <w:szCs w:val="18"/>
              </w:rPr>
              <w:t>王红</w:t>
            </w:r>
          </w:p>
        </w:tc>
      </w:tr>
    </w:tbl>
    <w:p>
      <w:pPr>
        <w:adjustRightInd w:val="0"/>
        <w:snapToGrid w:val="0"/>
        <w:spacing w:line="600" w:lineRule="exact"/>
        <w:outlineLvl w:val="1"/>
        <w:rPr>
          <w:rFonts w:ascii="黑体" w:hAnsi="黑体" w:eastAsia="黑体" w:cs="黑体"/>
          <w:sz w:val="32"/>
          <w:szCs w:val="32"/>
        </w:rPr>
      </w:pPr>
    </w:p>
    <w:p>
      <w:pPr>
        <w:adjustRightInd w:val="0"/>
        <w:snapToGrid w:val="0"/>
        <w:spacing w:line="600" w:lineRule="exact"/>
        <w:outlineLvl w:val="1"/>
        <w:rPr>
          <w:rFonts w:ascii="黑体" w:hAnsi="黑体" w:eastAsia="黑体" w:cs="黑体"/>
          <w:sz w:val="32"/>
          <w:szCs w:val="32"/>
        </w:rPr>
      </w:pPr>
    </w:p>
    <w:p>
      <w:pPr>
        <w:widowControl/>
        <w:jc w:val="left"/>
        <w:rPr>
          <w:rFonts w:ascii="黑体" w:hAnsi="黑体" w:eastAsia="黑体" w:cs="黑体"/>
          <w:sz w:val="32"/>
          <w:szCs w:val="32"/>
        </w:rPr>
      </w:pPr>
      <w:r>
        <w:rPr>
          <w:rFonts w:ascii="黑体" w:hAnsi="黑体" w:eastAsia="黑体" w:cs="黑体"/>
          <w:sz w:val="32"/>
          <w:szCs w:val="32"/>
        </w:rPr>
        <w:br w:type="page"/>
      </w:r>
    </w:p>
    <w:p>
      <w:pPr>
        <w:adjustRightInd w:val="0"/>
        <w:snapToGrid w:val="0"/>
        <w:spacing w:line="600" w:lineRule="exact"/>
        <w:outlineLvl w:val="1"/>
        <w:rPr>
          <w:rFonts w:ascii="黑体" w:hAnsi="黑体" w:eastAsia="黑体" w:cs="黑体"/>
          <w:sz w:val="32"/>
          <w:szCs w:val="32"/>
        </w:rPr>
      </w:pPr>
      <w:r>
        <w:rPr>
          <w:rFonts w:hint="eastAsia" w:ascii="黑体" w:hAnsi="黑体" w:eastAsia="黑体" w:cs="黑体"/>
          <w:sz w:val="32"/>
          <w:szCs w:val="32"/>
        </w:rPr>
        <w:t>附件2</w:t>
      </w:r>
    </w:p>
    <w:p>
      <w:pPr>
        <w:spacing w:line="60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rPr>
        <w:t>2022年残疾人残疾人康复项目</w:t>
      </w:r>
    </w:p>
    <w:p>
      <w:pPr>
        <w:spacing w:line="60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支出绩效自评报告</w:t>
      </w:r>
    </w:p>
    <w:p>
      <w:pPr>
        <w:adjustRightInd w:val="0"/>
        <w:snapToGrid w:val="0"/>
        <w:spacing w:line="600" w:lineRule="exact"/>
        <w:rPr>
          <w:color w:val="0000FF"/>
          <w:sz w:val="44"/>
          <w:szCs w:val="44"/>
        </w:rPr>
      </w:pPr>
    </w:p>
    <w:p>
      <w:pPr>
        <w:adjustRightInd w:val="0"/>
        <w:snapToGrid w:val="0"/>
        <w:spacing w:line="600" w:lineRule="exact"/>
        <w:ind w:firstLine="720"/>
        <w:outlineLvl w:val="1"/>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（一）项目基本情况</w:t>
      </w:r>
    </w:p>
    <w:p>
      <w:pPr>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1、2022年，县财政预算下达残疾康复经费7290元，对符合条件的残疾人安装假肢。</w:t>
      </w:r>
    </w:p>
    <w:p>
      <w:pPr>
        <w:ind w:firstLine="640" w:firstLineChars="200"/>
        <w:rPr>
          <w:rFonts w:ascii="仿宋" w:hAnsi="仿宋" w:eastAsia="仿宋" w:cs="仿宋"/>
          <w:sz w:val="32"/>
          <w:szCs w:val="32"/>
          <w:shd w:val="clear" w:color="auto" w:fill="FFFFFF"/>
        </w:rPr>
      </w:pPr>
      <w:r>
        <w:rPr>
          <w:rFonts w:hint="eastAsia" w:ascii="仿宋" w:hAnsi="仿宋" w:eastAsia="仿宋" w:cs="仿宋"/>
          <w:color w:val="333333"/>
          <w:sz w:val="32"/>
          <w:szCs w:val="32"/>
          <w:shd w:val="clear" w:color="auto" w:fill="FFFFFF"/>
        </w:rPr>
        <w:t>2、</w:t>
      </w:r>
      <w:r>
        <w:rPr>
          <w:rFonts w:hint="eastAsia" w:ascii="仿宋" w:hAnsi="仿宋" w:eastAsia="仿宋" w:cs="仿宋"/>
          <w:sz w:val="32"/>
          <w:szCs w:val="32"/>
          <w:shd w:val="clear" w:color="auto" w:fill="FFFFFF"/>
        </w:rPr>
        <w:t>该项目是执行2022年四川省残联下发《关于做好2022年上央和省级财政残疾人事业发展补助资金项目实施工作的通知》（川残办〔2022〕1号），由岳池县残联具体负责落实。</w:t>
      </w:r>
    </w:p>
    <w:p>
      <w:p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（二）项目绩效目标</w:t>
      </w:r>
    </w:p>
    <w:p>
      <w:pPr>
        <w:adjustRightInd w:val="0"/>
        <w:snapToGrid w:val="0"/>
        <w:spacing w:line="600" w:lineRule="exact"/>
        <w:ind w:firstLine="720"/>
        <w:outlineLvl w:val="2"/>
        <w:rPr>
          <w:rFonts w:ascii="楷体" w:hAnsi="楷体" w:eastAsia="楷体" w:cs="楷体"/>
          <w:b/>
          <w:sz w:val="32"/>
          <w:szCs w:val="32"/>
          <w:lang w:val="zh-CN"/>
        </w:rPr>
      </w:pPr>
      <w:r>
        <w:rPr>
          <w:rFonts w:hint="eastAsia" w:ascii="仿宋" w:hAnsi="仿宋" w:eastAsia="仿宋" w:cs="仿宋"/>
          <w:color w:val="000000"/>
          <w:sz w:val="32"/>
          <w:szCs w:val="32"/>
          <w:shd w:val="clear" w:color="auto" w:fill="FFFFFF"/>
          <w:lang w:val="zh-CN"/>
        </w:rPr>
        <w:t>为3名肢体残疾人安装假肢，解决他们出行难问题。</w:t>
      </w:r>
    </w:p>
    <w:p>
      <w:p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（三）项目自评步骤及方法</w:t>
      </w:r>
    </w:p>
    <w:p>
      <w:pPr>
        <w:adjustRightInd w:val="0"/>
        <w:snapToGrid w:val="0"/>
        <w:spacing w:line="600" w:lineRule="exact"/>
        <w:ind w:firstLine="72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1、绩效评价目的、对象和范围。</w:t>
      </w:r>
    </w:p>
    <w:p>
      <w:pPr>
        <w:adjustRightInd w:val="0"/>
        <w:snapToGrid w:val="0"/>
        <w:spacing w:line="600" w:lineRule="exact"/>
        <w:ind w:firstLine="72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县残联通过对残疾人康复资金使用绩效评价，对安装假肢人员进行调查，综合分析资金执行状况，完善工作方式方法，为下一步工作提供依据。</w:t>
      </w:r>
    </w:p>
    <w:p>
      <w:pPr>
        <w:adjustRightInd w:val="0"/>
        <w:snapToGrid w:val="0"/>
        <w:spacing w:line="600" w:lineRule="exact"/>
        <w:ind w:firstLine="72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2、评价方法。</w:t>
      </w:r>
    </w:p>
    <w:p>
      <w:pPr>
        <w:adjustRightInd w:val="0"/>
        <w:snapToGrid w:val="0"/>
        <w:spacing w:line="600" w:lineRule="exact"/>
        <w:ind w:firstLine="72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县残联通过电话、实地走访等方式开展回访，进行绩效评价。</w:t>
      </w:r>
    </w:p>
    <w:p>
      <w:pPr>
        <w:adjustRightInd w:val="0"/>
        <w:snapToGrid w:val="0"/>
        <w:spacing w:line="600" w:lineRule="exact"/>
        <w:ind w:firstLine="72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3、绩效评价工作过程。</w:t>
      </w:r>
    </w:p>
    <w:p>
      <w:pPr>
        <w:adjustRightInd w:val="0"/>
        <w:snapToGrid w:val="0"/>
        <w:spacing w:line="600" w:lineRule="exact"/>
        <w:ind w:firstLine="72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县残联专门的工作人员，通过电话、实地走访等方式，对安装了假肢的残疾人安装质量、安装不适、售后维护、满意度、意见建议等情况进行调查，客观分析绩效。</w:t>
      </w:r>
    </w:p>
    <w:p>
      <w:pPr>
        <w:adjustRightInd w:val="0"/>
        <w:snapToGrid w:val="0"/>
        <w:spacing w:line="600" w:lineRule="exact"/>
        <w:ind w:firstLine="720"/>
        <w:outlineLvl w:val="1"/>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（一）项目资金申报及批复情况</w:t>
      </w:r>
    </w:p>
    <w:p>
      <w:pPr>
        <w:ind w:firstLine="620" w:firstLineChars="200"/>
        <w:rPr>
          <w:rFonts w:ascii="仿宋" w:hAnsi="仿宋" w:eastAsia="仿宋" w:cs="仿宋"/>
          <w:color w:val="333333"/>
          <w:sz w:val="31"/>
          <w:szCs w:val="31"/>
          <w:shd w:val="clear" w:color="auto" w:fill="FFFFFF"/>
          <w:lang w:val="zh-CN"/>
        </w:rPr>
      </w:pPr>
      <w:r>
        <w:rPr>
          <w:rFonts w:hint="eastAsia" w:ascii="仿宋" w:hAnsi="仿宋" w:eastAsia="仿宋" w:cs="仿宋"/>
          <w:color w:val="333333"/>
          <w:sz w:val="31"/>
          <w:szCs w:val="31"/>
          <w:shd w:val="clear" w:color="auto" w:fill="FFFFFF"/>
        </w:rPr>
        <w:t>县财政下达批复资金7290元</w:t>
      </w:r>
      <w:r>
        <w:rPr>
          <w:rFonts w:hint="eastAsia" w:ascii="仿宋" w:hAnsi="仿宋" w:eastAsia="仿宋" w:cs="仿宋"/>
          <w:color w:val="333333"/>
          <w:sz w:val="31"/>
          <w:szCs w:val="31"/>
          <w:shd w:val="clear" w:color="auto" w:fill="FFFFFF"/>
          <w:lang w:val="zh-CN"/>
        </w:rPr>
        <w:t>。</w:t>
      </w:r>
    </w:p>
    <w:p>
      <w:pPr>
        <w:adjustRightInd w:val="0"/>
        <w:snapToGrid w:val="0"/>
        <w:spacing w:line="600" w:lineRule="exact"/>
        <w:ind w:firstLine="720"/>
        <w:outlineLvl w:val="2"/>
        <w:rPr>
          <w:rFonts w:ascii="楷体" w:hAnsi="楷体" w:eastAsia="楷体" w:cs="楷体"/>
          <w:sz w:val="32"/>
          <w:szCs w:val="32"/>
          <w:lang w:val="zh-CN"/>
        </w:rPr>
      </w:pPr>
      <w:r>
        <w:rPr>
          <w:rFonts w:hint="eastAsia" w:ascii="楷体" w:hAnsi="楷体" w:eastAsia="楷体" w:cs="楷体"/>
          <w:b/>
          <w:sz w:val="32"/>
          <w:szCs w:val="32"/>
          <w:lang w:val="zh-CN"/>
        </w:rPr>
        <w:t>（二）资金计划、到位及使用情况</w:t>
      </w:r>
    </w:p>
    <w:p>
      <w:pPr>
        <w:adjustRightInd w:val="0"/>
        <w:snapToGrid w:val="0"/>
        <w:spacing w:line="600" w:lineRule="exact"/>
        <w:ind w:firstLine="720"/>
        <w:rPr>
          <w:rFonts w:ascii="仿宋" w:hAnsi="仿宋" w:eastAsia="仿宋" w:cs="仿宋"/>
          <w:color w:val="333333"/>
          <w:sz w:val="32"/>
          <w:szCs w:val="32"/>
          <w:shd w:val="clear" w:color="auto" w:fill="FFFFFF"/>
          <w:lang w:val="zh-CN"/>
        </w:rPr>
      </w:pPr>
      <w:r>
        <w:rPr>
          <w:rFonts w:hint="eastAsia" w:ascii="仿宋" w:hAnsi="仿宋" w:eastAsia="仿宋" w:cs="仿宋"/>
          <w:sz w:val="32"/>
          <w:szCs w:val="32"/>
          <w:lang w:val="zh-CN"/>
        </w:rPr>
        <w:t>1、资金计划。县财政年初</w:t>
      </w:r>
      <w:r>
        <w:rPr>
          <w:rFonts w:hint="eastAsia" w:ascii="仿宋" w:hAnsi="仿宋" w:eastAsia="仿宋" w:cs="仿宋"/>
          <w:color w:val="333333"/>
          <w:sz w:val="32"/>
          <w:szCs w:val="32"/>
          <w:shd w:val="clear" w:color="auto" w:fill="FFFFFF"/>
        </w:rPr>
        <w:t>预算7290元，用于3名符合条件的残疾人假肢安装救助</w:t>
      </w:r>
      <w:r>
        <w:rPr>
          <w:rFonts w:hint="eastAsia" w:ascii="仿宋" w:hAnsi="仿宋" w:eastAsia="仿宋" w:cs="仿宋"/>
          <w:color w:val="333333"/>
          <w:sz w:val="32"/>
          <w:szCs w:val="32"/>
          <w:shd w:val="clear" w:color="auto" w:fill="FFFFFF"/>
          <w:lang w:val="zh-CN"/>
        </w:rPr>
        <w:t>。</w:t>
      </w:r>
    </w:p>
    <w:p>
      <w:pPr>
        <w:adjustRightInd w:val="0"/>
        <w:snapToGrid w:val="0"/>
        <w:spacing w:line="600" w:lineRule="exact"/>
        <w:ind w:firstLine="720"/>
        <w:rPr>
          <w:rFonts w:ascii="仿宋" w:hAnsi="仿宋" w:eastAsia="仿宋" w:cs="仿宋"/>
          <w:color w:val="333333"/>
          <w:sz w:val="32"/>
          <w:szCs w:val="32"/>
          <w:shd w:val="clear" w:color="auto" w:fill="FFFFFF"/>
        </w:rPr>
      </w:pPr>
      <w:r>
        <w:rPr>
          <w:rFonts w:hint="eastAsia" w:ascii="仿宋" w:hAnsi="仿宋" w:eastAsia="仿宋" w:cs="仿宋"/>
          <w:sz w:val="32"/>
          <w:szCs w:val="32"/>
          <w:lang w:val="zh-CN"/>
        </w:rPr>
        <w:t>2、资金到位。</w:t>
      </w:r>
      <w:r>
        <w:rPr>
          <w:rFonts w:hint="eastAsia" w:ascii="仿宋" w:hAnsi="仿宋" w:eastAsia="仿宋" w:cs="仿宋"/>
          <w:color w:val="333333"/>
          <w:sz w:val="32"/>
          <w:szCs w:val="32"/>
          <w:shd w:val="clear" w:color="auto" w:fill="FFFFFF"/>
        </w:rPr>
        <w:t>残疾就业和扶贫资金截至12月31日实际收入7290元，到位率100%。</w:t>
      </w:r>
    </w:p>
    <w:p>
      <w:pPr>
        <w:adjustRightInd w:val="0"/>
        <w:snapToGrid w:val="0"/>
        <w:spacing w:line="600" w:lineRule="exact"/>
        <w:ind w:firstLine="720"/>
        <w:rPr>
          <w:rFonts w:ascii="仿宋" w:hAnsi="仿宋" w:eastAsia="仿宋" w:cs="仿宋"/>
          <w:color w:val="333333"/>
          <w:sz w:val="31"/>
          <w:szCs w:val="31"/>
          <w:shd w:val="clear" w:color="auto" w:fill="FFFFFF"/>
        </w:rPr>
      </w:pPr>
      <w:r>
        <w:rPr>
          <w:rFonts w:hint="eastAsia" w:ascii="仿宋" w:hAnsi="仿宋" w:eastAsia="仿宋" w:cs="仿宋"/>
          <w:sz w:val="32"/>
          <w:szCs w:val="32"/>
          <w:lang w:val="zh-CN"/>
        </w:rPr>
        <w:t>3、资金使用。</w:t>
      </w:r>
      <w:r>
        <w:rPr>
          <w:rFonts w:hint="eastAsia" w:ascii="仿宋" w:hAnsi="仿宋" w:eastAsia="仿宋" w:cs="仿宋"/>
          <w:color w:val="333333"/>
          <w:sz w:val="32"/>
          <w:szCs w:val="32"/>
          <w:shd w:val="clear" w:color="auto" w:fill="FFFFFF"/>
        </w:rPr>
        <w:t>残疾就业和扶贫资金截至12月31日实际支出7290元，支出率100%</w:t>
      </w:r>
      <w:r>
        <w:rPr>
          <w:rFonts w:hint="eastAsia" w:ascii="仿宋" w:hAnsi="仿宋" w:eastAsia="仿宋" w:cs="仿宋"/>
          <w:color w:val="333333"/>
          <w:sz w:val="31"/>
          <w:szCs w:val="31"/>
          <w:shd w:val="clear" w:color="auto" w:fill="FFFFFF"/>
        </w:rPr>
        <w:t>。</w:t>
      </w:r>
    </w:p>
    <w:p>
      <w:p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（三）项目财务管理情况</w:t>
      </w:r>
    </w:p>
    <w:p>
      <w:pPr>
        <w:adjustRightInd w:val="0"/>
        <w:snapToGrid w:val="0"/>
        <w:spacing w:line="600" w:lineRule="exact"/>
        <w:ind w:firstLine="72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严格按照中省市相关文件规定执行和遵守财经纪律制度，加强监督管理，认真审核把关，不截留不挪用，确保专款专用，让广大残疾人有更多的获得感、幸福感、安全感。</w:t>
      </w:r>
    </w:p>
    <w:p>
      <w:pPr>
        <w:adjustRightInd w:val="0"/>
        <w:snapToGrid w:val="0"/>
        <w:spacing w:line="600" w:lineRule="exact"/>
        <w:ind w:firstLine="720"/>
        <w:outlineLvl w:val="1"/>
        <w:rPr>
          <w:rFonts w:ascii="黑体" w:hAnsi="宋体" w:eastAsia="黑体"/>
          <w:sz w:val="32"/>
          <w:szCs w:val="32"/>
        </w:rPr>
      </w:pPr>
      <w:r>
        <w:rPr>
          <w:rFonts w:hint="eastAsia" w:ascii="黑体" w:hAnsi="宋体" w:eastAsia="黑体"/>
          <w:sz w:val="32"/>
          <w:szCs w:val="32"/>
        </w:rPr>
        <w:t>三、项目实施及管理情况</w:t>
      </w:r>
    </w:p>
    <w:p>
      <w:pPr>
        <w:ind w:firstLine="642" w:firstLineChars="200"/>
        <w:outlineLvl w:val="2"/>
        <w:rPr>
          <w:rFonts w:ascii="楷体" w:hAnsi="楷体" w:eastAsia="楷体" w:cs="楷体"/>
          <w:b/>
          <w:sz w:val="32"/>
          <w:szCs w:val="32"/>
          <w:lang w:val="zh-CN"/>
        </w:rPr>
      </w:pPr>
      <w:r>
        <w:rPr>
          <w:rFonts w:hint="eastAsia" w:ascii="楷体" w:hAnsi="楷体" w:eastAsia="楷体" w:cs="楷体"/>
          <w:b/>
          <w:sz w:val="32"/>
          <w:szCs w:val="32"/>
          <w:lang w:val="zh-CN"/>
        </w:rPr>
        <w:t>（一）</w:t>
      </w:r>
      <w:r>
        <w:rPr>
          <w:rFonts w:hint="eastAsia" w:ascii="楷体" w:hAnsi="楷体" w:eastAsia="楷体" w:cs="楷体"/>
          <w:b/>
          <w:sz w:val="32"/>
          <w:szCs w:val="32"/>
        </w:rPr>
        <w:t>项目</w:t>
      </w:r>
      <w:r>
        <w:rPr>
          <w:rFonts w:hint="eastAsia" w:ascii="楷体" w:hAnsi="楷体" w:eastAsia="楷体" w:cs="楷体"/>
          <w:b/>
          <w:sz w:val="32"/>
          <w:szCs w:val="32"/>
          <w:lang w:val="zh-CN"/>
        </w:rPr>
        <w:t>实施流程</w:t>
      </w:r>
    </w:p>
    <w:p>
      <w:pPr>
        <w:ind w:firstLine="640" w:firstLineChars="200"/>
        <w:rPr>
          <w:rFonts w:ascii="仿宋_GB2312" w:eastAsia="仿宋_GB2312" w:cs="仿宋"/>
          <w:color w:val="000000"/>
          <w:kern w:val="0"/>
          <w:sz w:val="32"/>
          <w:szCs w:val="32"/>
        </w:rPr>
      </w:pPr>
      <w:r>
        <w:rPr>
          <w:rFonts w:hint="eastAsia" w:ascii="仿宋" w:hAnsi="仿宋" w:eastAsia="仿宋" w:cs="仿宋"/>
          <w:color w:val="000000"/>
          <w:kern w:val="0"/>
          <w:sz w:val="32"/>
          <w:szCs w:val="32"/>
        </w:rPr>
        <w:t>由乡镇（街道）摸排申报初步人员，县残联审批确定救助对象。通过询价确定供应商，由供应商对符合条件的残疾人进行筛选、制模、装配、调试、维护等服务</w:t>
      </w:r>
      <w:r>
        <w:rPr>
          <w:rFonts w:hint="eastAsia" w:ascii="仿宋_GB2312" w:eastAsia="仿宋_GB2312" w:cs="仿宋"/>
          <w:color w:val="000000"/>
          <w:kern w:val="0"/>
          <w:sz w:val="32"/>
          <w:szCs w:val="32"/>
        </w:rPr>
        <w:t>。</w:t>
      </w:r>
      <w:r>
        <w:rPr>
          <w:rFonts w:hint="eastAsia" w:ascii="仿宋" w:hAnsi="仿宋" w:eastAsia="仿宋" w:cs="仿宋"/>
          <w:color w:val="000000"/>
          <w:kern w:val="0"/>
          <w:sz w:val="32"/>
          <w:szCs w:val="32"/>
        </w:rPr>
        <w:t>安装完成后，由县残联与涉及乡镇（街道）进行验收结算拨付</w:t>
      </w:r>
      <w:r>
        <w:rPr>
          <w:rFonts w:hint="eastAsia" w:ascii="仿宋_GB2312" w:eastAsia="仿宋_GB2312" w:cs="仿宋"/>
          <w:color w:val="000000"/>
          <w:kern w:val="0"/>
          <w:sz w:val="32"/>
          <w:szCs w:val="32"/>
        </w:rPr>
        <w:t>。</w:t>
      </w:r>
    </w:p>
    <w:p>
      <w:pPr>
        <w:adjustRightInd w:val="0"/>
        <w:snapToGrid w:val="0"/>
        <w:spacing w:line="600" w:lineRule="exact"/>
        <w:ind w:firstLine="642" w:firstLineChars="200"/>
        <w:rPr>
          <w:rFonts w:ascii="仿宋_GB2312" w:eastAsia="仿宋_GB2312" w:cs="仿宋"/>
          <w:color w:val="000000"/>
          <w:kern w:val="0"/>
          <w:sz w:val="32"/>
          <w:szCs w:val="32"/>
          <w:lang w:val="zh-CN"/>
        </w:rPr>
      </w:pPr>
      <w:r>
        <w:rPr>
          <w:rFonts w:hint="eastAsia" w:ascii="楷体" w:hAnsi="楷体" w:eastAsia="楷体" w:cs="楷体"/>
          <w:b/>
          <w:sz w:val="32"/>
          <w:szCs w:val="32"/>
          <w:lang w:val="zh-CN"/>
        </w:rPr>
        <w:t>（三）项目管理情况。</w:t>
      </w:r>
      <w:r>
        <w:rPr>
          <w:rFonts w:hint="eastAsia" w:ascii="仿宋_GB2312" w:eastAsia="仿宋_GB2312" w:cs="仿宋"/>
          <w:color w:val="000000"/>
          <w:kern w:val="0"/>
          <w:sz w:val="32"/>
          <w:szCs w:val="32"/>
        </w:rPr>
        <w:t>县</w:t>
      </w:r>
      <w:r>
        <w:rPr>
          <w:rFonts w:hint="eastAsia" w:ascii="仿宋_GB2312" w:eastAsia="仿宋_GB2312" w:cs="仿宋"/>
          <w:color w:val="000000"/>
          <w:kern w:val="0"/>
          <w:sz w:val="32"/>
          <w:szCs w:val="32"/>
          <w:lang w:val="zh-CN"/>
        </w:rPr>
        <w:t>残联负责实施部署、统筹、协调、指导、监管、验收、资金拨付等工作。涉及乡镇（街道）做好统筹、协调、指导、监管、验收等属地责任。</w:t>
      </w:r>
      <w:r>
        <w:rPr>
          <w:rFonts w:hint="eastAsia" w:ascii="仿宋_GB2312" w:eastAsia="仿宋_GB2312" w:cs="仿宋"/>
          <w:color w:val="000000"/>
          <w:kern w:val="0"/>
          <w:sz w:val="32"/>
          <w:szCs w:val="32"/>
        </w:rPr>
        <w:t>县</w:t>
      </w:r>
      <w:r>
        <w:rPr>
          <w:rFonts w:hint="eastAsia" w:ascii="仿宋_GB2312" w:eastAsia="仿宋_GB2312" w:cs="仿宋"/>
          <w:color w:val="000000"/>
          <w:kern w:val="0"/>
          <w:sz w:val="32"/>
          <w:szCs w:val="32"/>
          <w:lang w:val="zh-CN"/>
        </w:rPr>
        <w:t>财政局负责按计划安排拨付资金，监督检查专项经费的使用，参与项目的检查验收工作。其他有关部门按职能职责配合做好相关工作。</w:t>
      </w:r>
    </w:p>
    <w:p>
      <w:pPr>
        <w:adjustRightInd w:val="0"/>
        <w:snapToGrid w:val="0"/>
        <w:spacing w:line="600" w:lineRule="exact"/>
        <w:ind w:firstLine="720"/>
        <w:rPr>
          <w:rFonts w:ascii="仿宋_GB2312" w:eastAsia="仿宋_GB2312" w:cs="仿宋"/>
          <w:color w:val="FF0000"/>
          <w:kern w:val="0"/>
          <w:sz w:val="32"/>
          <w:szCs w:val="32"/>
          <w:lang w:val="zh-CN"/>
        </w:rPr>
      </w:pPr>
      <w:r>
        <w:rPr>
          <w:rFonts w:hint="eastAsia" w:ascii="楷体" w:hAnsi="楷体" w:eastAsia="楷体" w:cs="楷体"/>
          <w:b/>
          <w:sz w:val="32"/>
          <w:szCs w:val="32"/>
          <w:lang w:val="zh-CN"/>
        </w:rPr>
        <w:t>（四）项目监管情况。</w:t>
      </w:r>
      <w:r>
        <w:rPr>
          <w:rFonts w:hint="eastAsia" w:ascii="仿宋_GB2312" w:eastAsia="仿宋_GB2312" w:cs="仿宋"/>
          <w:color w:val="000000"/>
          <w:kern w:val="0"/>
          <w:sz w:val="32"/>
          <w:szCs w:val="32"/>
          <w:lang w:val="zh-CN"/>
        </w:rPr>
        <w:t>项目资金支出及拨付完全合规，项目方案确定后，均及时把资金发放到位，不截留、挪用。</w:t>
      </w:r>
      <w:r>
        <w:rPr>
          <w:rFonts w:hint="eastAsia" w:ascii="仿宋_GB2312" w:eastAsia="仿宋_GB2312" w:cs="仿宋"/>
          <w:color w:val="FF0000"/>
          <w:kern w:val="0"/>
          <w:sz w:val="32"/>
          <w:szCs w:val="32"/>
          <w:lang w:val="zh-CN"/>
        </w:rPr>
        <w:t> </w:t>
      </w:r>
    </w:p>
    <w:p>
      <w:pPr>
        <w:adjustRightInd w:val="0"/>
        <w:snapToGrid w:val="0"/>
        <w:spacing w:line="600" w:lineRule="exact"/>
        <w:ind w:firstLine="720"/>
        <w:outlineLvl w:val="1"/>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（一）项目完成情况。</w:t>
      </w:r>
    </w:p>
    <w:p>
      <w:pPr>
        <w:adjustRightInd w:val="0"/>
        <w:snapToGrid w:val="0"/>
        <w:spacing w:line="600" w:lineRule="exact"/>
        <w:ind w:firstLine="720"/>
        <w:rPr>
          <w:rFonts w:ascii="仿宋" w:hAnsi="仿宋" w:eastAsia="仿宋" w:cs="仿宋"/>
          <w:b/>
          <w:sz w:val="32"/>
          <w:szCs w:val="32"/>
        </w:rPr>
      </w:pPr>
      <w:r>
        <w:rPr>
          <w:rFonts w:hint="eastAsia" w:ascii="仿宋" w:hAnsi="仿宋" w:eastAsia="仿宋" w:cs="仿宋"/>
          <w:sz w:val="32"/>
          <w:szCs w:val="32"/>
        </w:rPr>
        <w:t>2022年残疾人康复目标任务数3名，实际完成任务3名，完成率100%。</w:t>
      </w:r>
    </w:p>
    <w:p>
      <w:pPr>
        <w:numPr>
          <w:ilvl w:val="0"/>
          <w:numId w:val="5"/>
        </w:num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项目效益情况。</w:t>
      </w:r>
    </w:p>
    <w:p>
      <w:pPr>
        <w:pStyle w:val="2"/>
        <w:spacing w:before="93"/>
        <w:ind w:firstLine="640" w:firstLineChars="200"/>
        <w:rPr>
          <w:rFonts w:ascii="仿宋" w:hAnsi="仿宋" w:eastAsia="仿宋" w:cs="仿宋"/>
          <w:kern w:val="2"/>
          <w:sz w:val="32"/>
          <w:szCs w:val="32"/>
          <w:lang w:val="zh-CN"/>
        </w:rPr>
      </w:pPr>
      <w:r>
        <w:rPr>
          <w:rFonts w:hint="eastAsia" w:ascii="仿宋" w:hAnsi="仿宋" w:eastAsia="仿宋" w:cs="仿宋"/>
          <w:kern w:val="2"/>
          <w:sz w:val="32"/>
          <w:szCs w:val="32"/>
          <w:lang w:val="zh-CN"/>
        </w:rPr>
        <w:t>通过对</w:t>
      </w:r>
      <w:r>
        <w:rPr>
          <w:rFonts w:hint="eastAsia" w:ascii="仿宋" w:hAnsi="仿宋" w:eastAsia="仿宋" w:cs="仿宋"/>
          <w:sz w:val="32"/>
          <w:szCs w:val="32"/>
        </w:rPr>
        <w:t>残疾人安装假肢，不仅使他们重新站立起来</w:t>
      </w:r>
      <w:r>
        <w:rPr>
          <w:rFonts w:hint="eastAsia" w:ascii="仿宋" w:hAnsi="仿宋" w:eastAsia="仿宋" w:cs="仿宋"/>
          <w:kern w:val="2"/>
          <w:sz w:val="32"/>
          <w:szCs w:val="32"/>
          <w:lang w:val="zh-CN"/>
        </w:rPr>
        <w:t>，还使他们能生活处理，甚至个别能正常劳动就业，重拾信心</w:t>
      </w:r>
      <w:r>
        <w:rPr>
          <w:rFonts w:hint="eastAsia" w:ascii="仿宋" w:hAnsi="仿宋" w:eastAsia="仿宋" w:cs="仿宋"/>
          <w:color w:val="000000"/>
          <w:sz w:val="32"/>
          <w:szCs w:val="32"/>
          <w:shd w:val="clear" w:color="auto" w:fill="FFFFFF"/>
          <w:lang w:val="zh-CN"/>
        </w:rPr>
        <w:t>。安装假肢对象十分满意</w:t>
      </w:r>
      <w:r>
        <w:rPr>
          <w:rFonts w:hint="eastAsia" w:ascii="仿宋" w:hAnsi="仿宋" w:eastAsia="仿宋" w:cs="仿宋"/>
          <w:kern w:val="2"/>
          <w:sz w:val="32"/>
          <w:szCs w:val="32"/>
          <w:lang w:val="zh-CN"/>
        </w:rPr>
        <w:t>。</w:t>
      </w:r>
    </w:p>
    <w:p>
      <w:pPr>
        <w:adjustRightInd w:val="0"/>
        <w:snapToGrid w:val="0"/>
        <w:spacing w:line="600" w:lineRule="exact"/>
        <w:ind w:firstLine="720"/>
        <w:outlineLvl w:val="1"/>
        <w:rPr>
          <w:rFonts w:ascii="黑体" w:hAnsi="黑体" w:eastAsia="黑体" w:cs="黑体"/>
          <w:sz w:val="32"/>
          <w:szCs w:val="32"/>
          <w:lang w:val="zh-CN"/>
        </w:rPr>
      </w:pPr>
      <w:r>
        <w:rPr>
          <w:rFonts w:hint="eastAsia" w:ascii="黑体" w:hAnsi="黑体" w:eastAsia="黑体" w:cs="黑体"/>
          <w:sz w:val="32"/>
          <w:szCs w:val="32"/>
          <w:lang w:val="zh-CN"/>
        </w:rPr>
        <w:t>五、评价结论及建议</w:t>
      </w:r>
    </w:p>
    <w:p>
      <w:pPr>
        <w:adjustRightInd w:val="0"/>
        <w:snapToGrid w:val="0"/>
        <w:spacing w:line="600" w:lineRule="exact"/>
        <w:ind w:firstLine="642" w:firstLineChars="200"/>
        <w:outlineLvl w:val="2"/>
        <w:rPr>
          <w:rFonts w:ascii="楷体" w:hAnsi="楷体" w:eastAsia="楷体" w:cs="楷体"/>
          <w:b/>
          <w:sz w:val="32"/>
          <w:szCs w:val="32"/>
          <w:lang w:val="zh-CN"/>
        </w:rPr>
      </w:pPr>
      <w:r>
        <w:rPr>
          <w:rFonts w:hint="eastAsia" w:ascii="楷体" w:hAnsi="楷体" w:eastAsia="楷体" w:cs="楷体"/>
          <w:b/>
          <w:sz w:val="32"/>
          <w:szCs w:val="32"/>
          <w:lang w:val="zh-CN"/>
        </w:rPr>
        <w:t>（一）评价结论。</w:t>
      </w:r>
    </w:p>
    <w:p>
      <w:pPr>
        <w:pStyle w:val="2"/>
        <w:spacing w:before="93"/>
        <w:ind w:firstLine="640" w:firstLineChars="200"/>
        <w:rPr>
          <w:rFonts w:ascii="仿宋" w:hAnsi="仿宋" w:eastAsia="仿宋" w:cs="仿宋"/>
          <w:kern w:val="2"/>
          <w:sz w:val="32"/>
          <w:szCs w:val="32"/>
          <w:lang w:val="zh-CN"/>
        </w:rPr>
      </w:pPr>
      <w:r>
        <w:rPr>
          <w:rFonts w:hint="eastAsia" w:ascii="仿宋" w:hAnsi="仿宋" w:eastAsia="仿宋" w:cs="仿宋"/>
          <w:kern w:val="2"/>
          <w:sz w:val="32"/>
          <w:szCs w:val="32"/>
          <w:lang w:val="zh-CN"/>
        </w:rPr>
        <w:t>该项目的实施缺肢人员重新站立</w:t>
      </w:r>
      <w:r>
        <w:rPr>
          <w:rFonts w:hint="eastAsia" w:ascii="仿宋" w:hAnsi="仿宋" w:eastAsia="仿宋" w:cs="仿宋"/>
          <w:kern w:val="2"/>
          <w:sz w:val="32"/>
          <w:szCs w:val="32"/>
        </w:rPr>
        <w:t>，重拾信心，促进平等</w:t>
      </w:r>
      <w:r>
        <w:rPr>
          <w:rFonts w:hint="eastAsia" w:ascii="仿宋" w:hAnsi="仿宋" w:eastAsia="仿宋" w:cs="仿宋"/>
          <w:kern w:val="2"/>
          <w:sz w:val="32"/>
          <w:szCs w:val="32"/>
          <w:lang w:val="zh-CN"/>
        </w:rPr>
        <w:t>参与社会，得到了好评。</w:t>
      </w:r>
    </w:p>
    <w:p>
      <w:p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 w:hAnsi="仿宋" w:eastAsia="仿宋" w:cs="仿宋"/>
          <w:sz w:val="32"/>
          <w:szCs w:val="32"/>
        </w:rPr>
        <w:t>资金投入不足，不能很好的满足残疾人需求</w:t>
      </w:r>
      <w:r>
        <w:rPr>
          <w:rFonts w:hint="eastAsia" w:ascii="仿宋" w:hAnsi="仿宋" w:eastAsia="仿宋" w:cs="仿宋"/>
          <w:sz w:val="32"/>
          <w:szCs w:val="32"/>
          <w:lang w:val="zh-CN"/>
        </w:rPr>
        <w:t>。</w:t>
      </w:r>
      <w:r>
        <w:rPr>
          <w:rFonts w:hint="eastAsia" w:ascii="仿宋_GB2312" w:hAnsi="宋体" w:eastAsia="仿宋_GB2312"/>
          <w:sz w:val="32"/>
          <w:szCs w:val="32"/>
          <w:lang w:val="zh-CN"/>
        </w:rPr>
        <w:tab/>
      </w:r>
    </w:p>
    <w:p>
      <w:pPr>
        <w:adjustRightInd w:val="0"/>
        <w:snapToGrid w:val="0"/>
        <w:spacing w:line="600" w:lineRule="exact"/>
        <w:ind w:left="720"/>
        <w:outlineLvl w:val="2"/>
        <w:rPr>
          <w:rFonts w:ascii="楷体" w:hAnsi="楷体" w:eastAsia="楷体" w:cs="楷体"/>
          <w:b/>
          <w:sz w:val="32"/>
          <w:szCs w:val="32"/>
          <w:lang w:val="zh-CN"/>
        </w:rPr>
      </w:pPr>
      <w:r>
        <w:rPr>
          <w:rFonts w:hint="eastAsia" w:ascii="楷体" w:hAnsi="楷体" w:eastAsia="楷体" w:cs="楷体"/>
          <w:b/>
          <w:sz w:val="32"/>
          <w:szCs w:val="32"/>
          <w:lang w:val="zh-CN"/>
        </w:rPr>
        <w:t>（三）相关建议。</w:t>
      </w:r>
    </w:p>
    <w:p>
      <w:pPr>
        <w:pStyle w:val="2"/>
        <w:spacing w:before="93"/>
        <w:ind w:firstLine="640" w:firstLineChars="200"/>
        <w:rPr>
          <w:rFonts w:ascii="仿宋" w:hAnsi="仿宋" w:eastAsia="仿宋" w:cs="仿宋"/>
          <w:kern w:val="2"/>
          <w:sz w:val="32"/>
          <w:szCs w:val="32"/>
          <w:lang w:val="zh-CN"/>
        </w:rPr>
      </w:pPr>
      <w:r>
        <w:rPr>
          <w:rFonts w:hint="eastAsia" w:ascii="仿宋" w:hAnsi="仿宋" w:eastAsia="仿宋" w:cs="仿宋"/>
          <w:kern w:val="2"/>
          <w:sz w:val="32"/>
          <w:szCs w:val="32"/>
          <w:lang w:val="zh-CN"/>
        </w:rPr>
        <w:t>政策建议：中省市县加大专项资金投入，让更多缺肢残疾人得到救助，给予特别的关心、关爱。</w:t>
      </w:r>
    </w:p>
    <w:p>
      <w:pPr>
        <w:rPr>
          <w:lang w:val="zh-CN"/>
        </w:rPr>
      </w:pPr>
    </w:p>
    <w:tbl>
      <w:tblPr>
        <w:tblStyle w:val="14"/>
        <w:tblW w:w="8540" w:type="dxa"/>
        <w:tblInd w:w="93" w:type="dxa"/>
        <w:tblLayout w:type="autofit"/>
        <w:tblCellMar>
          <w:top w:w="0" w:type="dxa"/>
          <w:left w:w="108" w:type="dxa"/>
          <w:bottom w:w="0" w:type="dxa"/>
          <w:right w:w="108" w:type="dxa"/>
        </w:tblCellMar>
      </w:tblPr>
      <w:tblGrid>
        <w:gridCol w:w="769"/>
        <w:gridCol w:w="769"/>
        <w:gridCol w:w="772"/>
        <w:gridCol w:w="772"/>
        <w:gridCol w:w="762"/>
        <w:gridCol w:w="769"/>
        <w:gridCol w:w="764"/>
        <w:gridCol w:w="866"/>
        <w:gridCol w:w="762"/>
        <w:gridCol w:w="765"/>
        <w:gridCol w:w="770"/>
      </w:tblGrid>
      <w:tr>
        <w:tblPrEx>
          <w:tblCellMar>
            <w:top w:w="0" w:type="dxa"/>
            <w:left w:w="108" w:type="dxa"/>
            <w:bottom w:w="0" w:type="dxa"/>
            <w:right w:w="108" w:type="dxa"/>
          </w:tblCellMar>
        </w:tblPrEx>
        <w:trPr>
          <w:trHeight w:val="648" w:hRule="atLeast"/>
        </w:trPr>
        <w:tc>
          <w:tcPr>
            <w:tcW w:w="8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334" w:hRule="atLeast"/>
        </w:trPr>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70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残疾人康复</w:t>
            </w:r>
          </w:p>
        </w:tc>
      </w:tr>
      <w:tr>
        <w:tblPrEx>
          <w:tblCellMar>
            <w:top w:w="0" w:type="dxa"/>
            <w:left w:w="108" w:type="dxa"/>
            <w:bottom w:w="0" w:type="dxa"/>
            <w:right w:w="108" w:type="dxa"/>
          </w:tblCellMar>
        </w:tblPrEx>
        <w:trPr>
          <w:trHeight w:val="954" w:hRule="atLeast"/>
        </w:trPr>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38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岳池县残疾人联合会</w:t>
            </w:r>
          </w:p>
        </w:tc>
        <w:tc>
          <w:tcPr>
            <w:tcW w:w="866"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岳池县残疾人联合会</w:t>
            </w:r>
          </w:p>
        </w:tc>
      </w:tr>
      <w:tr>
        <w:tblPrEx>
          <w:tblCellMar>
            <w:top w:w="0" w:type="dxa"/>
            <w:left w:w="108" w:type="dxa"/>
            <w:bottom w:w="0" w:type="dxa"/>
            <w:right w:w="108" w:type="dxa"/>
          </w:tblCellMar>
        </w:tblPrEx>
        <w:trPr>
          <w:trHeight w:val="334"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38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1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1583"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38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为3名肢体残疾人安装假肢，解决他们出行难得问题。</w:t>
            </w:r>
          </w:p>
        </w:tc>
        <w:tc>
          <w:tcPr>
            <w:tcW w:w="31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为3名肢体残疾人安装假肢，解决他们出行难得问题。</w:t>
            </w:r>
          </w:p>
        </w:tc>
      </w:tr>
      <w:tr>
        <w:tblPrEx>
          <w:tblCellMar>
            <w:top w:w="0" w:type="dxa"/>
            <w:left w:w="108" w:type="dxa"/>
            <w:bottom w:w="0" w:type="dxa"/>
            <w:right w:w="108" w:type="dxa"/>
          </w:tblCellMar>
        </w:tblPrEx>
        <w:trPr>
          <w:trHeight w:val="1898"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70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对象户由乡镇（街道）摸排，通过询价确定供应商，由供应商对有需求的残疾人进行筛选、制模、装配、调试、维护等服务。</w:t>
            </w:r>
          </w:p>
        </w:tc>
      </w:tr>
      <w:tr>
        <w:tblPrEx>
          <w:tblCellMar>
            <w:top w:w="0" w:type="dxa"/>
            <w:left w:w="108" w:type="dxa"/>
            <w:bottom w:w="0" w:type="dxa"/>
            <w:right w:w="108" w:type="dxa"/>
          </w:tblCellMar>
        </w:tblPrEx>
        <w:trPr>
          <w:trHeight w:val="1269"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334"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0.729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0.729</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0.729</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954"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0.729</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0.729</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0.729</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1269"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639"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0.000</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0.000</w:t>
            </w: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639"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1269"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1583"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得到康复的残疾人数量</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954"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康复完成时限</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2022年12月</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2022年12月</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1583"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残疾人得到康复回归社会</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有所提高</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有所提高</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34" w:hRule="atLeast"/>
        </w:trPr>
        <w:tc>
          <w:tcPr>
            <w:tcW w:w="62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3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77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自评得分100分，为3名肢体残疾人适配假肢，实用效果好，残疾人及家庭满意。</w:t>
            </w:r>
          </w:p>
        </w:tc>
      </w:tr>
      <w:tr>
        <w:tblPrEx>
          <w:tblCellMar>
            <w:top w:w="0" w:type="dxa"/>
            <w:left w:w="108" w:type="dxa"/>
            <w:bottom w:w="0" w:type="dxa"/>
            <w:right w:w="108" w:type="dxa"/>
          </w:tblCellMar>
        </w:tblPrEx>
        <w:trPr>
          <w:trHeight w:val="63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77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63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77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55" w:hRule="atLeast"/>
        </w:trPr>
        <w:tc>
          <w:tcPr>
            <w:tcW w:w="38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项目负责人：张兴福</w:t>
            </w:r>
          </w:p>
        </w:tc>
        <w:tc>
          <w:tcPr>
            <w:tcW w:w="46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财务负责人：王红</w:t>
            </w:r>
          </w:p>
        </w:tc>
      </w:tr>
    </w:tbl>
    <w:p>
      <w:pPr>
        <w:rPr>
          <w:lang w:val="zh-CN"/>
        </w:rPr>
      </w:pPr>
    </w:p>
    <w:p>
      <w:pPr>
        <w:widowControl/>
        <w:jc w:val="left"/>
        <w:rPr>
          <w:rFonts w:ascii="黑体" w:hAnsi="黑体" w:eastAsia="黑体" w:cs="黑体"/>
          <w:sz w:val="32"/>
          <w:szCs w:val="32"/>
        </w:rPr>
      </w:pPr>
      <w:r>
        <w:rPr>
          <w:rFonts w:ascii="黑体" w:hAnsi="黑体" w:eastAsia="黑体" w:cs="黑体"/>
          <w:sz w:val="32"/>
          <w:szCs w:val="32"/>
        </w:rPr>
        <w:br w:type="page"/>
      </w:r>
    </w:p>
    <w:p>
      <w:pPr>
        <w:adjustRightInd w:val="0"/>
        <w:snapToGrid w:val="0"/>
        <w:spacing w:line="600" w:lineRule="exact"/>
        <w:outlineLvl w:val="1"/>
        <w:rPr>
          <w:rFonts w:ascii="黑体" w:hAnsi="黑体" w:eastAsia="黑体" w:cs="黑体"/>
          <w:sz w:val="32"/>
          <w:szCs w:val="32"/>
        </w:rPr>
      </w:pPr>
      <w:r>
        <w:rPr>
          <w:rFonts w:hint="eastAsia" w:ascii="黑体" w:hAnsi="黑体" w:eastAsia="黑体" w:cs="黑体"/>
          <w:sz w:val="32"/>
          <w:szCs w:val="32"/>
        </w:rPr>
        <w:t>附件2</w:t>
      </w:r>
    </w:p>
    <w:p>
      <w:pPr>
        <w:spacing w:line="60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rPr>
        <w:t>2022年残疾人就业和扶贫项目</w:t>
      </w:r>
    </w:p>
    <w:p>
      <w:pPr>
        <w:spacing w:line="60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支出绩效自评报告</w:t>
      </w:r>
    </w:p>
    <w:p>
      <w:pPr>
        <w:adjustRightInd w:val="0"/>
        <w:snapToGrid w:val="0"/>
        <w:spacing w:line="600" w:lineRule="exact"/>
        <w:rPr>
          <w:color w:val="0000FF"/>
          <w:sz w:val="44"/>
          <w:szCs w:val="44"/>
        </w:rPr>
      </w:pPr>
    </w:p>
    <w:p>
      <w:pPr>
        <w:adjustRightInd w:val="0"/>
        <w:snapToGrid w:val="0"/>
        <w:spacing w:line="600" w:lineRule="exact"/>
        <w:ind w:firstLine="720"/>
        <w:outlineLvl w:val="1"/>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（一）项目基本情况</w:t>
      </w:r>
    </w:p>
    <w:p>
      <w:pPr>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1、2022年，县财政预算下达残疾人就业和扶贫经费5832元，对残疾人进行种植、养殖等实用性技术培训。</w:t>
      </w:r>
    </w:p>
    <w:p>
      <w:pPr>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2、对象范围</w:t>
      </w:r>
    </w:p>
    <w:p>
      <w:pPr>
        <w:autoSpaceDE w:val="0"/>
        <w:autoSpaceDN w:val="0"/>
        <w:spacing w:line="590" w:lineRule="exact"/>
        <w:ind w:firstLine="640" w:firstLineChars="200"/>
        <w:rPr>
          <w:rFonts w:eastAsia="方正仿宋_GBK"/>
          <w:spacing w:val="11"/>
          <w:kern w:val="0"/>
          <w:sz w:val="33"/>
          <w:szCs w:val="33"/>
        </w:rPr>
      </w:pPr>
      <w:r>
        <w:rPr>
          <w:rFonts w:hint="eastAsia" w:ascii="仿宋" w:hAnsi="仿宋" w:eastAsia="仿宋" w:cs="仿宋"/>
          <w:color w:val="333333"/>
          <w:sz w:val="32"/>
          <w:szCs w:val="32"/>
          <w:shd w:val="clear" w:color="auto" w:fill="FFFFFF"/>
        </w:rPr>
        <w:t>（1）</w:t>
      </w:r>
      <w:r>
        <w:rPr>
          <w:rFonts w:hint="eastAsia" w:eastAsia="方正仿宋_GBK"/>
          <w:spacing w:val="11"/>
          <w:kern w:val="0"/>
          <w:sz w:val="33"/>
          <w:szCs w:val="33"/>
        </w:rPr>
        <w:t>农村享受低保残疾人、特困救助供养残疾人、已脱贫（原建档立卡）残疾人、纳入防返贫监测对象的残疾人等。</w:t>
      </w:r>
    </w:p>
    <w:p>
      <w:pPr>
        <w:autoSpaceDE w:val="0"/>
        <w:autoSpaceDN w:val="0"/>
        <w:spacing w:line="59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（2）经乡镇（街道）认定，家庭人均收入低于当地低保标准1.5倍左右的农村困难残疾人（低保边缘残疾人）。</w:t>
      </w:r>
    </w:p>
    <w:p>
      <w:pPr>
        <w:autoSpaceDE w:val="0"/>
        <w:autoSpaceDN w:val="0"/>
        <w:spacing w:line="59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（3）一户多残、以老养残等特殊困难家庭中的残疾人。</w:t>
      </w:r>
    </w:p>
    <w:p>
      <w:pPr>
        <w:autoSpaceDE w:val="0"/>
        <w:autoSpaceDN w:val="0"/>
        <w:spacing w:line="59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（4）经乡镇（街道）认定或村委会推荐的困难家庭中的残疾人。</w:t>
      </w:r>
    </w:p>
    <w:p>
      <w:pPr>
        <w:autoSpaceDE w:val="0"/>
        <w:autoSpaceDN w:val="0"/>
        <w:spacing w:line="590" w:lineRule="exact"/>
        <w:ind w:firstLine="640" w:firstLineChars="200"/>
        <w:rPr>
          <w:rFonts w:eastAsia="方正仿宋_GBK"/>
          <w:spacing w:val="11"/>
          <w:kern w:val="0"/>
          <w:sz w:val="33"/>
          <w:szCs w:val="33"/>
        </w:rPr>
      </w:pPr>
      <w:r>
        <w:rPr>
          <w:rFonts w:hint="eastAsia" w:ascii="仿宋" w:hAnsi="仿宋" w:eastAsia="仿宋" w:cs="仿宋"/>
          <w:color w:val="333333"/>
          <w:sz w:val="32"/>
          <w:szCs w:val="32"/>
          <w:shd w:val="clear" w:color="auto" w:fill="FFFFFF"/>
        </w:rPr>
        <w:t>（5）以上</w:t>
      </w:r>
      <w:r>
        <w:rPr>
          <w:rFonts w:hint="eastAsia" w:eastAsia="方正仿宋_GBK"/>
          <w:spacing w:val="11"/>
          <w:kern w:val="0"/>
          <w:sz w:val="33"/>
          <w:szCs w:val="33"/>
        </w:rPr>
        <w:t>情况中的重度残疾家庭的一位成员。</w:t>
      </w:r>
    </w:p>
    <w:p>
      <w:pPr>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3、对象条件</w:t>
      </w:r>
    </w:p>
    <w:p>
      <w:pPr>
        <w:autoSpaceDE w:val="0"/>
        <w:autoSpaceDN w:val="0"/>
        <w:spacing w:line="59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接受培训人员应具备以下条件：</w:t>
      </w:r>
    </w:p>
    <w:p>
      <w:pPr>
        <w:autoSpaceDE w:val="0"/>
        <w:autoSpaceDN w:val="0"/>
        <w:spacing w:line="59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（1）接受培训的人员应为具有岳池县户籍的农村困难残疾人。</w:t>
      </w:r>
    </w:p>
    <w:p>
      <w:pPr>
        <w:autoSpaceDE w:val="0"/>
        <w:autoSpaceDN w:val="0"/>
        <w:spacing w:line="59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（2）接受培训的残疾人需持有有效《中华人民共和国残疾人证》，重度残疾人家庭成员需为残疾人的直系亲属或监护人。</w:t>
      </w:r>
    </w:p>
    <w:p>
      <w:pPr>
        <w:autoSpaceDE w:val="0"/>
        <w:autoSpaceDN w:val="0"/>
        <w:spacing w:line="59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（3）年满16周岁以上。</w:t>
      </w:r>
    </w:p>
    <w:p>
      <w:pPr>
        <w:autoSpaceDE w:val="0"/>
        <w:autoSpaceDN w:val="0"/>
        <w:spacing w:line="59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（4）有劳动能力和意愿且具备接受培训的条件和能力。</w:t>
      </w:r>
    </w:p>
    <w:p>
      <w:pPr>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rPr>
        <w:t>4、</w:t>
      </w:r>
      <w:r>
        <w:rPr>
          <w:rFonts w:hint="eastAsia" w:ascii="仿宋" w:hAnsi="仿宋" w:eastAsia="仿宋" w:cs="仿宋"/>
          <w:sz w:val="32"/>
          <w:szCs w:val="32"/>
          <w:shd w:val="clear" w:color="auto" w:fill="FFFFFF"/>
        </w:rPr>
        <w:t>该项目是执行2022年四川省残联下发《关于做好2022年上央和省级财政残疾人事业发展补助资金项目实施工作的通知》（川残办〔2022〕1号），由岳池县残联具体负责落实。</w:t>
      </w:r>
    </w:p>
    <w:p>
      <w:p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（二）项目绩效目标</w:t>
      </w:r>
    </w:p>
    <w:p>
      <w:pPr>
        <w:adjustRightInd w:val="0"/>
        <w:snapToGrid w:val="0"/>
        <w:spacing w:line="600" w:lineRule="exact"/>
        <w:ind w:firstLine="720"/>
        <w:outlineLvl w:val="2"/>
        <w:rPr>
          <w:rFonts w:ascii="楷体" w:hAnsi="楷体" w:eastAsia="楷体" w:cs="楷体"/>
          <w:b/>
          <w:sz w:val="32"/>
          <w:szCs w:val="32"/>
          <w:lang w:val="zh-CN"/>
        </w:rPr>
      </w:pPr>
      <w:r>
        <w:rPr>
          <w:rFonts w:hint="eastAsia" w:ascii="仿宋" w:hAnsi="仿宋" w:eastAsia="仿宋" w:cs="仿宋"/>
          <w:color w:val="000000"/>
          <w:sz w:val="32"/>
          <w:szCs w:val="32"/>
          <w:shd w:val="clear" w:color="auto" w:fill="FFFFFF"/>
          <w:lang w:val="zh-CN"/>
        </w:rPr>
        <w:t>为15名残疾人提供技术培训，让他们掌握1-2门技术，帮助他们就业。</w:t>
      </w:r>
    </w:p>
    <w:p>
      <w:p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（三）项目自评步骤及方法</w:t>
      </w:r>
    </w:p>
    <w:p>
      <w:pPr>
        <w:adjustRightInd w:val="0"/>
        <w:snapToGrid w:val="0"/>
        <w:spacing w:line="600" w:lineRule="exact"/>
        <w:ind w:firstLine="72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1、绩效评价目的、对象和范围。</w:t>
      </w:r>
    </w:p>
    <w:p>
      <w:pPr>
        <w:adjustRightInd w:val="0"/>
        <w:snapToGrid w:val="0"/>
        <w:spacing w:line="600" w:lineRule="exact"/>
        <w:ind w:firstLine="72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县残联通过对残疾人就业和扶贫资金使用绩效评价，对受培训人员开展调查，更好的总结分析资金执行状况，为下一步工作提供依据。</w:t>
      </w:r>
    </w:p>
    <w:p>
      <w:pPr>
        <w:adjustRightInd w:val="0"/>
        <w:snapToGrid w:val="0"/>
        <w:spacing w:line="600" w:lineRule="exact"/>
        <w:ind w:firstLine="72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2、评价方法。</w:t>
      </w:r>
    </w:p>
    <w:p>
      <w:pPr>
        <w:adjustRightInd w:val="0"/>
        <w:snapToGrid w:val="0"/>
        <w:spacing w:line="600" w:lineRule="exact"/>
        <w:ind w:firstLine="72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县残联通过电话、实地走访等方式开展回访，进行绩效评价。</w:t>
      </w:r>
    </w:p>
    <w:p>
      <w:pPr>
        <w:adjustRightInd w:val="0"/>
        <w:snapToGrid w:val="0"/>
        <w:spacing w:line="600" w:lineRule="exact"/>
        <w:ind w:firstLine="72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3、绩效评价工作过程。</w:t>
      </w:r>
    </w:p>
    <w:p>
      <w:pPr>
        <w:adjustRightInd w:val="0"/>
        <w:snapToGrid w:val="0"/>
        <w:spacing w:line="600" w:lineRule="exact"/>
        <w:ind w:firstLine="720"/>
        <w:outlineLvl w:val="2"/>
        <w:rPr>
          <w:rFonts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县残联专门的工作人员，通过电话、实地走访等方式，对残疾人或家庭成员参与实用技术培训、对实用技术掌握、培训满意度、培训的意见建议等情况进行调查，综合分析绩效。</w:t>
      </w:r>
    </w:p>
    <w:p>
      <w:pPr>
        <w:adjustRightInd w:val="0"/>
        <w:snapToGrid w:val="0"/>
        <w:spacing w:line="600" w:lineRule="exact"/>
        <w:ind w:firstLine="720"/>
        <w:outlineLvl w:val="1"/>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（一）项目资金申报及批复情况</w:t>
      </w:r>
    </w:p>
    <w:p>
      <w:pPr>
        <w:ind w:firstLine="620" w:firstLineChars="200"/>
        <w:rPr>
          <w:rFonts w:ascii="仿宋" w:hAnsi="仿宋" w:eastAsia="仿宋" w:cs="仿宋"/>
          <w:color w:val="333333"/>
          <w:sz w:val="31"/>
          <w:szCs w:val="31"/>
          <w:shd w:val="clear" w:color="auto" w:fill="FFFFFF"/>
          <w:lang w:val="zh-CN"/>
        </w:rPr>
      </w:pPr>
      <w:r>
        <w:rPr>
          <w:rFonts w:hint="eastAsia" w:ascii="仿宋" w:hAnsi="仿宋" w:eastAsia="仿宋" w:cs="仿宋"/>
          <w:color w:val="333333"/>
          <w:sz w:val="31"/>
          <w:szCs w:val="31"/>
          <w:shd w:val="clear" w:color="auto" w:fill="FFFFFF"/>
        </w:rPr>
        <w:t>县财政下达批复资金5832元</w:t>
      </w:r>
      <w:r>
        <w:rPr>
          <w:rFonts w:hint="eastAsia" w:ascii="仿宋" w:hAnsi="仿宋" w:eastAsia="仿宋" w:cs="仿宋"/>
          <w:color w:val="333333"/>
          <w:sz w:val="31"/>
          <w:szCs w:val="31"/>
          <w:shd w:val="clear" w:color="auto" w:fill="FFFFFF"/>
          <w:lang w:val="zh-CN"/>
        </w:rPr>
        <w:t>。</w:t>
      </w:r>
    </w:p>
    <w:p>
      <w:pPr>
        <w:adjustRightInd w:val="0"/>
        <w:snapToGrid w:val="0"/>
        <w:spacing w:line="600" w:lineRule="exact"/>
        <w:ind w:firstLine="720"/>
        <w:outlineLvl w:val="2"/>
        <w:rPr>
          <w:rFonts w:ascii="楷体" w:hAnsi="楷体" w:eastAsia="楷体" w:cs="楷体"/>
          <w:sz w:val="32"/>
          <w:szCs w:val="32"/>
          <w:lang w:val="zh-CN"/>
        </w:rPr>
      </w:pPr>
      <w:r>
        <w:rPr>
          <w:rFonts w:hint="eastAsia" w:ascii="楷体" w:hAnsi="楷体" w:eastAsia="楷体" w:cs="楷体"/>
          <w:b/>
          <w:sz w:val="32"/>
          <w:szCs w:val="32"/>
          <w:lang w:val="zh-CN"/>
        </w:rPr>
        <w:t>（二）资金计划、到位及使用情况</w:t>
      </w:r>
    </w:p>
    <w:p>
      <w:pPr>
        <w:adjustRightInd w:val="0"/>
        <w:snapToGrid w:val="0"/>
        <w:spacing w:line="600" w:lineRule="exact"/>
        <w:ind w:firstLine="720"/>
        <w:rPr>
          <w:rFonts w:ascii="仿宋" w:hAnsi="仿宋" w:eastAsia="仿宋" w:cs="仿宋"/>
          <w:sz w:val="32"/>
          <w:szCs w:val="32"/>
          <w:lang w:val="zh-CN"/>
        </w:rPr>
      </w:pPr>
      <w:r>
        <w:rPr>
          <w:rFonts w:hint="eastAsia" w:ascii="仿宋" w:hAnsi="仿宋" w:eastAsia="仿宋" w:cs="仿宋"/>
          <w:sz w:val="32"/>
          <w:szCs w:val="32"/>
          <w:lang w:val="zh-CN"/>
        </w:rPr>
        <w:t>1、资金计划。县财政年初</w:t>
      </w:r>
      <w:r>
        <w:rPr>
          <w:rFonts w:hint="eastAsia" w:ascii="仿宋" w:hAnsi="仿宋" w:eastAsia="仿宋" w:cs="仿宋"/>
          <w:color w:val="333333"/>
          <w:sz w:val="32"/>
          <w:szCs w:val="32"/>
          <w:shd w:val="clear" w:color="auto" w:fill="FFFFFF"/>
        </w:rPr>
        <w:t>预算5832元，</w:t>
      </w:r>
      <w:r>
        <w:rPr>
          <w:rFonts w:hint="eastAsia" w:ascii="仿宋" w:hAnsi="仿宋" w:eastAsia="仿宋" w:cs="仿宋"/>
          <w:sz w:val="32"/>
          <w:szCs w:val="32"/>
        </w:rPr>
        <w:t>为15名残疾人提供技术培训，让他们掌握1-2门技术，促进就业。</w:t>
      </w:r>
    </w:p>
    <w:p>
      <w:pPr>
        <w:adjustRightInd w:val="0"/>
        <w:snapToGrid w:val="0"/>
        <w:spacing w:line="600" w:lineRule="exact"/>
        <w:ind w:firstLine="720"/>
        <w:rPr>
          <w:rFonts w:ascii="仿宋" w:hAnsi="仿宋" w:eastAsia="仿宋" w:cs="仿宋"/>
          <w:color w:val="333333"/>
          <w:sz w:val="32"/>
          <w:szCs w:val="32"/>
          <w:shd w:val="clear" w:color="auto" w:fill="FFFFFF"/>
        </w:rPr>
      </w:pPr>
      <w:r>
        <w:rPr>
          <w:rFonts w:hint="eastAsia" w:ascii="仿宋" w:hAnsi="仿宋" w:eastAsia="仿宋" w:cs="仿宋"/>
          <w:sz w:val="32"/>
          <w:szCs w:val="32"/>
          <w:lang w:val="zh-CN"/>
        </w:rPr>
        <w:t>2、资金到位。</w:t>
      </w:r>
      <w:r>
        <w:rPr>
          <w:rFonts w:hint="eastAsia" w:ascii="仿宋" w:hAnsi="仿宋" w:eastAsia="仿宋" w:cs="仿宋"/>
          <w:color w:val="333333"/>
          <w:sz w:val="32"/>
          <w:szCs w:val="32"/>
          <w:shd w:val="clear" w:color="auto" w:fill="FFFFFF"/>
        </w:rPr>
        <w:t>残疾就业和扶贫资金截至12月31日实际收入5832元，到位率100%。</w:t>
      </w:r>
    </w:p>
    <w:p>
      <w:pPr>
        <w:adjustRightInd w:val="0"/>
        <w:snapToGrid w:val="0"/>
        <w:spacing w:line="600" w:lineRule="exact"/>
        <w:ind w:firstLine="720"/>
        <w:rPr>
          <w:rFonts w:ascii="仿宋" w:hAnsi="仿宋" w:eastAsia="仿宋" w:cs="仿宋"/>
          <w:color w:val="333333"/>
          <w:sz w:val="31"/>
          <w:szCs w:val="31"/>
          <w:shd w:val="clear" w:color="auto" w:fill="FFFFFF"/>
        </w:rPr>
      </w:pPr>
      <w:r>
        <w:rPr>
          <w:rFonts w:hint="eastAsia" w:ascii="仿宋" w:hAnsi="仿宋" w:eastAsia="仿宋" w:cs="仿宋"/>
          <w:sz w:val="32"/>
          <w:szCs w:val="32"/>
          <w:lang w:val="zh-CN"/>
        </w:rPr>
        <w:t>3、资金使用。</w:t>
      </w:r>
      <w:r>
        <w:rPr>
          <w:rFonts w:hint="eastAsia" w:ascii="仿宋" w:hAnsi="仿宋" w:eastAsia="仿宋" w:cs="仿宋"/>
          <w:color w:val="333333"/>
          <w:sz w:val="32"/>
          <w:szCs w:val="32"/>
          <w:shd w:val="clear" w:color="auto" w:fill="FFFFFF"/>
        </w:rPr>
        <w:t>残疾就业和扶贫资金截至12月31日实际支出5832元，支出率100%</w:t>
      </w:r>
      <w:r>
        <w:rPr>
          <w:rFonts w:hint="eastAsia" w:ascii="仿宋" w:hAnsi="仿宋" w:eastAsia="仿宋" w:cs="仿宋"/>
          <w:color w:val="333333"/>
          <w:sz w:val="31"/>
          <w:szCs w:val="31"/>
          <w:shd w:val="clear" w:color="auto" w:fill="FFFFFF"/>
        </w:rPr>
        <w:t>。</w:t>
      </w:r>
    </w:p>
    <w:p>
      <w:p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（三）项目财务管理情况</w:t>
      </w:r>
    </w:p>
    <w:p>
      <w:pPr>
        <w:adjustRightInd w:val="0"/>
        <w:snapToGrid w:val="0"/>
        <w:spacing w:line="600" w:lineRule="exact"/>
        <w:ind w:firstLine="72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严格按照中省市相关文件规定执行和遵守财经纪律制度，加强监督管理，认真审核把关，不截留不挪用，确保专款专用，让广大残疾人有更多的获得感、幸福感、安全感。</w:t>
      </w:r>
    </w:p>
    <w:p>
      <w:pPr>
        <w:adjustRightInd w:val="0"/>
        <w:snapToGrid w:val="0"/>
        <w:spacing w:line="600" w:lineRule="exact"/>
        <w:ind w:firstLine="720"/>
        <w:outlineLvl w:val="1"/>
        <w:rPr>
          <w:rFonts w:ascii="黑体" w:hAnsi="宋体" w:eastAsia="黑体"/>
          <w:sz w:val="32"/>
          <w:szCs w:val="32"/>
        </w:rPr>
      </w:pPr>
      <w:r>
        <w:rPr>
          <w:rFonts w:hint="eastAsia" w:ascii="黑体" w:hAnsi="宋体" w:eastAsia="黑体"/>
          <w:sz w:val="32"/>
          <w:szCs w:val="32"/>
        </w:rPr>
        <w:t>三、项目实施及管理情况</w:t>
      </w:r>
    </w:p>
    <w:p>
      <w:pPr>
        <w:ind w:firstLine="642" w:firstLineChars="200"/>
        <w:outlineLvl w:val="2"/>
        <w:rPr>
          <w:rFonts w:ascii="仿宋" w:hAnsi="仿宋" w:eastAsia="仿宋" w:cs="仿宋"/>
          <w:color w:val="333333"/>
          <w:sz w:val="32"/>
          <w:szCs w:val="32"/>
          <w:shd w:val="clear" w:color="auto" w:fill="FFFFFF"/>
          <w:lang w:val="zh-CN"/>
        </w:rPr>
      </w:pPr>
      <w:r>
        <w:rPr>
          <w:rFonts w:hint="eastAsia" w:ascii="楷体" w:hAnsi="楷体" w:eastAsia="楷体" w:cs="楷体"/>
          <w:b/>
          <w:sz w:val="32"/>
          <w:szCs w:val="32"/>
          <w:lang w:val="zh-CN"/>
        </w:rPr>
        <w:t>（一）</w:t>
      </w:r>
      <w:r>
        <w:rPr>
          <w:rFonts w:hint="eastAsia" w:ascii="楷体" w:hAnsi="楷体" w:eastAsia="楷体" w:cs="楷体"/>
          <w:b/>
          <w:sz w:val="32"/>
          <w:szCs w:val="32"/>
        </w:rPr>
        <w:t>项目</w:t>
      </w:r>
      <w:r>
        <w:rPr>
          <w:rFonts w:hint="eastAsia" w:ascii="楷体" w:hAnsi="楷体" w:eastAsia="楷体" w:cs="楷体"/>
          <w:b/>
          <w:sz w:val="32"/>
          <w:szCs w:val="32"/>
          <w:lang w:val="zh-CN"/>
        </w:rPr>
        <w:t>实施流程。</w:t>
      </w:r>
      <w:r>
        <w:rPr>
          <w:rFonts w:hint="eastAsia" w:ascii="仿宋" w:hAnsi="仿宋" w:eastAsia="仿宋" w:cs="仿宋"/>
          <w:color w:val="333333"/>
          <w:sz w:val="32"/>
          <w:szCs w:val="32"/>
          <w:shd w:val="clear" w:color="auto" w:fill="FFFFFF"/>
          <w:lang w:val="zh-CN"/>
        </w:rPr>
        <w:t>首先</w:t>
      </w:r>
      <w:r>
        <w:rPr>
          <w:rFonts w:hint="eastAsia" w:ascii="楷体" w:hAnsi="楷体" w:eastAsia="楷体" w:cs="楷体"/>
          <w:b/>
          <w:sz w:val="32"/>
          <w:szCs w:val="32"/>
          <w:lang w:val="zh-CN"/>
        </w:rPr>
        <w:t>，</w:t>
      </w:r>
      <w:r>
        <w:rPr>
          <w:rFonts w:hint="eastAsia" w:ascii="仿宋" w:hAnsi="仿宋" w:eastAsia="仿宋" w:cs="仿宋"/>
          <w:color w:val="333333"/>
          <w:sz w:val="32"/>
          <w:szCs w:val="32"/>
          <w:shd w:val="clear" w:color="auto" w:fill="FFFFFF"/>
        </w:rPr>
        <w:t>项目实施乡镇（街道）广泛宣传动员摸排，对有需求的困难残疾人进行登记。其次项目实施乡镇（街道）对困难残疾人的申请材料进行审核，审核通过的汇总确认参加残疾人实用技术培训名单报县残联备案。三是县残联通过采购购买三方服务机构。四是组织培训。项目实施由乡镇（街道）负责组织人员，培训机构统一进行培训。</w:t>
      </w:r>
    </w:p>
    <w:p>
      <w:pPr>
        <w:adjustRightInd w:val="0"/>
        <w:snapToGrid w:val="0"/>
        <w:spacing w:line="600" w:lineRule="exact"/>
        <w:ind w:firstLine="642" w:firstLineChars="200"/>
        <w:rPr>
          <w:rFonts w:ascii="仿宋_GB2312" w:eastAsia="仿宋_GB2312" w:cs="仿宋"/>
          <w:color w:val="000000"/>
          <w:kern w:val="0"/>
          <w:sz w:val="32"/>
          <w:szCs w:val="32"/>
          <w:lang w:val="zh-CN"/>
        </w:rPr>
      </w:pPr>
      <w:r>
        <w:rPr>
          <w:rFonts w:hint="eastAsia" w:ascii="楷体" w:hAnsi="楷体" w:eastAsia="楷体" w:cs="楷体"/>
          <w:b/>
          <w:sz w:val="32"/>
          <w:szCs w:val="32"/>
          <w:lang w:val="zh-CN"/>
        </w:rPr>
        <w:t>（三）项目管理情况。</w:t>
      </w:r>
      <w:r>
        <w:rPr>
          <w:rFonts w:hint="eastAsia" w:ascii="仿宋_GB2312" w:eastAsia="仿宋_GB2312" w:cs="仿宋"/>
          <w:color w:val="000000"/>
          <w:kern w:val="0"/>
          <w:sz w:val="32"/>
          <w:szCs w:val="32"/>
        </w:rPr>
        <w:t>县</w:t>
      </w:r>
      <w:r>
        <w:rPr>
          <w:rFonts w:hint="eastAsia" w:ascii="仿宋_GB2312" w:eastAsia="仿宋_GB2312" w:cs="仿宋"/>
          <w:color w:val="000000"/>
          <w:kern w:val="0"/>
          <w:sz w:val="32"/>
          <w:szCs w:val="32"/>
          <w:lang w:val="zh-CN"/>
        </w:rPr>
        <w:t>残联负责实施部署、统筹、协调、指导、监管、验收、资金拨付等工作。涉及乡镇（街道）做好统筹、协调、指导、监管、验收等属地责任。</w:t>
      </w:r>
      <w:r>
        <w:rPr>
          <w:rFonts w:hint="eastAsia" w:ascii="仿宋_GB2312" w:eastAsia="仿宋_GB2312" w:cs="仿宋"/>
          <w:color w:val="000000"/>
          <w:kern w:val="0"/>
          <w:sz w:val="32"/>
          <w:szCs w:val="32"/>
        </w:rPr>
        <w:t>县</w:t>
      </w:r>
      <w:r>
        <w:rPr>
          <w:rFonts w:hint="eastAsia" w:ascii="仿宋_GB2312" w:eastAsia="仿宋_GB2312" w:cs="仿宋"/>
          <w:color w:val="000000"/>
          <w:kern w:val="0"/>
          <w:sz w:val="32"/>
          <w:szCs w:val="32"/>
          <w:lang w:val="zh-CN"/>
        </w:rPr>
        <w:t>财政局负责按计划安排拨付资金，监督检查专项经费的使用，参与项目的检查验收工作。其他有关部门按职能职责配合做好相关工作。</w:t>
      </w:r>
    </w:p>
    <w:p>
      <w:pPr>
        <w:adjustRightInd w:val="0"/>
        <w:snapToGrid w:val="0"/>
        <w:spacing w:line="600" w:lineRule="exact"/>
        <w:ind w:firstLine="720"/>
        <w:rPr>
          <w:rFonts w:ascii="仿宋_GB2312" w:eastAsia="仿宋_GB2312" w:cs="仿宋"/>
          <w:color w:val="000000"/>
          <w:kern w:val="0"/>
          <w:sz w:val="32"/>
          <w:szCs w:val="32"/>
          <w:lang w:val="zh-CN"/>
        </w:rPr>
      </w:pPr>
      <w:r>
        <w:rPr>
          <w:rFonts w:hint="eastAsia" w:ascii="楷体" w:hAnsi="楷体" w:eastAsia="楷体" w:cs="楷体"/>
          <w:b/>
          <w:sz w:val="32"/>
          <w:szCs w:val="32"/>
          <w:lang w:val="zh-CN"/>
        </w:rPr>
        <w:t>（四）项目监管情况。</w:t>
      </w:r>
      <w:r>
        <w:rPr>
          <w:rFonts w:hint="eastAsia" w:ascii="仿宋_GB2312" w:eastAsia="仿宋_GB2312" w:cs="仿宋"/>
          <w:color w:val="000000"/>
          <w:kern w:val="0"/>
          <w:sz w:val="32"/>
          <w:szCs w:val="32"/>
          <w:lang w:val="zh-CN"/>
        </w:rPr>
        <w:t>项目资金实施、支出及拨付完全合规，</w:t>
      </w:r>
      <w:r>
        <w:rPr>
          <w:rFonts w:hint="eastAsia" w:ascii="仿宋_GB2312" w:eastAsia="仿宋_GB2312" w:cs="仿宋"/>
          <w:kern w:val="0"/>
          <w:sz w:val="32"/>
          <w:szCs w:val="32"/>
          <w:lang w:val="zh-CN"/>
        </w:rPr>
        <w:t>项目方案确定后</w:t>
      </w:r>
      <w:r>
        <w:rPr>
          <w:rFonts w:hint="eastAsia" w:ascii="仿宋_GB2312" w:eastAsia="仿宋_GB2312" w:cs="仿宋"/>
          <w:color w:val="000000"/>
          <w:kern w:val="0"/>
          <w:sz w:val="32"/>
          <w:szCs w:val="32"/>
          <w:lang w:val="zh-CN"/>
        </w:rPr>
        <w:t>，均及时把资金发放到位，不截留、挪用。我会还不定期组织对实施机构资金使用情况进行专项检查。 </w:t>
      </w:r>
    </w:p>
    <w:p>
      <w:pPr>
        <w:adjustRightInd w:val="0"/>
        <w:snapToGrid w:val="0"/>
        <w:spacing w:line="600" w:lineRule="exact"/>
        <w:ind w:firstLine="720"/>
        <w:outlineLvl w:val="1"/>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（一）项目完成情况。</w:t>
      </w:r>
    </w:p>
    <w:p>
      <w:pPr>
        <w:adjustRightInd w:val="0"/>
        <w:snapToGrid w:val="0"/>
        <w:spacing w:line="600" w:lineRule="exact"/>
        <w:ind w:firstLine="720"/>
        <w:rPr>
          <w:rFonts w:ascii="仿宋" w:hAnsi="仿宋" w:eastAsia="仿宋" w:cs="仿宋"/>
          <w:b/>
          <w:sz w:val="32"/>
          <w:szCs w:val="32"/>
        </w:rPr>
      </w:pPr>
      <w:r>
        <w:rPr>
          <w:rFonts w:hint="eastAsia" w:ascii="仿宋" w:hAnsi="仿宋" w:eastAsia="仿宋" w:cs="仿宋"/>
          <w:sz w:val="32"/>
          <w:szCs w:val="32"/>
        </w:rPr>
        <w:t>2022年残疾人就业和扶贫目标任务数15名，实际完成任务15名，完成率100%。</w:t>
      </w:r>
    </w:p>
    <w:p>
      <w:pPr>
        <w:numPr>
          <w:ilvl w:val="0"/>
          <w:numId w:val="5"/>
        </w:num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项目效益情况。</w:t>
      </w:r>
    </w:p>
    <w:p>
      <w:pPr>
        <w:pStyle w:val="2"/>
        <w:spacing w:before="93"/>
        <w:ind w:firstLine="640" w:firstLineChars="200"/>
        <w:rPr>
          <w:rFonts w:ascii="仿宋" w:hAnsi="仿宋" w:eastAsia="仿宋" w:cs="仿宋"/>
          <w:kern w:val="2"/>
          <w:sz w:val="32"/>
          <w:szCs w:val="32"/>
          <w:lang w:val="zh-CN"/>
        </w:rPr>
      </w:pPr>
      <w:r>
        <w:rPr>
          <w:rFonts w:hint="eastAsia" w:ascii="仿宋" w:hAnsi="仿宋" w:eastAsia="仿宋" w:cs="仿宋"/>
          <w:kern w:val="2"/>
          <w:sz w:val="32"/>
          <w:szCs w:val="32"/>
          <w:lang w:val="zh-CN"/>
        </w:rPr>
        <w:t>通过</w:t>
      </w:r>
      <w:r>
        <w:rPr>
          <w:rFonts w:hint="eastAsia" w:ascii="仿宋" w:hAnsi="仿宋" w:eastAsia="仿宋" w:cs="仿宋"/>
          <w:sz w:val="32"/>
          <w:szCs w:val="32"/>
        </w:rPr>
        <w:t>残疾人就业和扶贫项目</w:t>
      </w:r>
      <w:r>
        <w:rPr>
          <w:rFonts w:hint="eastAsia" w:ascii="仿宋" w:hAnsi="仿宋" w:eastAsia="仿宋" w:cs="仿宋"/>
          <w:kern w:val="2"/>
          <w:sz w:val="32"/>
          <w:szCs w:val="32"/>
          <w:lang w:val="zh-CN"/>
        </w:rPr>
        <w:t>的实施，</w:t>
      </w:r>
      <w:r>
        <w:rPr>
          <w:rFonts w:hint="eastAsia" w:ascii="仿宋" w:hAnsi="仿宋" w:eastAsia="仿宋" w:cs="仿宋"/>
          <w:color w:val="000000"/>
          <w:sz w:val="32"/>
          <w:szCs w:val="32"/>
          <w:shd w:val="clear" w:color="auto" w:fill="FFFFFF"/>
          <w:lang w:val="zh-CN"/>
        </w:rPr>
        <w:t>让残疾人或家庭一成员掌握了1-2门技术，促进了他们就业，增加了收入，提高了社会的认同感和满意度</w:t>
      </w:r>
      <w:r>
        <w:rPr>
          <w:rFonts w:hint="eastAsia" w:ascii="仿宋" w:hAnsi="仿宋" w:eastAsia="仿宋" w:cs="仿宋"/>
          <w:kern w:val="2"/>
          <w:sz w:val="32"/>
          <w:szCs w:val="32"/>
          <w:lang w:val="zh-CN"/>
        </w:rPr>
        <w:t>。</w:t>
      </w:r>
    </w:p>
    <w:p>
      <w:pPr>
        <w:adjustRightInd w:val="0"/>
        <w:snapToGrid w:val="0"/>
        <w:spacing w:line="600" w:lineRule="exact"/>
        <w:ind w:firstLine="720"/>
        <w:outlineLvl w:val="1"/>
        <w:rPr>
          <w:rFonts w:ascii="黑体" w:hAnsi="黑体" w:eastAsia="黑体" w:cs="黑体"/>
          <w:sz w:val="32"/>
          <w:szCs w:val="32"/>
          <w:lang w:val="zh-CN"/>
        </w:rPr>
      </w:pPr>
      <w:r>
        <w:rPr>
          <w:rFonts w:hint="eastAsia" w:ascii="黑体" w:hAnsi="黑体" w:eastAsia="黑体" w:cs="黑体"/>
          <w:sz w:val="32"/>
          <w:szCs w:val="32"/>
          <w:lang w:val="zh-CN"/>
        </w:rPr>
        <w:t>五、评价结论及建议</w:t>
      </w:r>
    </w:p>
    <w:p>
      <w:pPr>
        <w:adjustRightInd w:val="0"/>
        <w:snapToGrid w:val="0"/>
        <w:spacing w:line="600" w:lineRule="exact"/>
        <w:ind w:firstLine="642" w:firstLineChars="200"/>
        <w:outlineLvl w:val="2"/>
        <w:rPr>
          <w:rFonts w:ascii="楷体" w:hAnsi="楷体" w:eastAsia="楷体" w:cs="楷体"/>
          <w:b/>
          <w:sz w:val="32"/>
          <w:szCs w:val="32"/>
          <w:lang w:val="zh-CN"/>
        </w:rPr>
      </w:pPr>
      <w:r>
        <w:rPr>
          <w:rFonts w:hint="eastAsia" w:ascii="楷体" w:hAnsi="楷体" w:eastAsia="楷体" w:cs="楷体"/>
          <w:b/>
          <w:sz w:val="32"/>
          <w:szCs w:val="32"/>
          <w:lang w:val="zh-CN"/>
        </w:rPr>
        <w:t>（一）评价结论。</w:t>
      </w:r>
    </w:p>
    <w:p>
      <w:pPr>
        <w:pStyle w:val="2"/>
        <w:spacing w:before="93"/>
        <w:ind w:firstLine="640" w:firstLineChars="200"/>
        <w:rPr>
          <w:rFonts w:ascii="仿宋" w:hAnsi="仿宋" w:eastAsia="仿宋" w:cs="仿宋"/>
          <w:kern w:val="2"/>
          <w:sz w:val="32"/>
          <w:szCs w:val="32"/>
          <w:lang w:val="zh-CN"/>
        </w:rPr>
      </w:pPr>
      <w:r>
        <w:rPr>
          <w:rFonts w:hint="eastAsia" w:ascii="仿宋" w:hAnsi="仿宋" w:eastAsia="仿宋" w:cs="仿宋"/>
          <w:kern w:val="2"/>
          <w:sz w:val="32"/>
          <w:szCs w:val="32"/>
          <w:lang w:val="zh-CN"/>
        </w:rPr>
        <w:t>该项目的实施得到了残疾人及家庭成员好评，普遍认为通过培训，让他们掌握了</w:t>
      </w:r>
      <w:r>
        <w:rPr>
          <w:rFonts w:hint="eastAsia" w:ascii="仿宋" w:hAnsi="仿宋" w:eastAsia="仿宋" w:cs="仿宋"/>
          <w:kern w:val="2"/>
          <w:sz w:val="32"/>
          <w:szCs w:val="32"/>
        </w:rPr>
        <w:t>1-2门技术，</w:t>
      </w:r>
      <w:r>
        <w:rPr>
          <w:rFonts w:hint="eastAsia" w:ascii="仿宋" w:hAnsi="仿宋" w:eastAsia="仿宋" w:cs="仿宋"/>
          <w:kern w:val="2"/>
          <w:sz w:val="32"/>
          <w:szCs w:val="32"/>
          <w:lang w:val="zh-CN"/>
        </w:rPr>
        <w:t>增加了他们参与社会的能力，享受到了党和政府的温暖。</w:t>
      </w:r>
    </w:p>
    <w:p>
      <w:pPr>
        <w:adjustRightInd w:val="0"/>
        <w:snapToGrid w:val="0"/>
        <w:spacing w:line="600" w:lineRule="exact"/>
        <w:ind w:firstLine="720"/>
        <w:outlineLvl w:val="2"/>
        <w:rPr>
          <w:rFonts w:ascii="楷体" w:hAnsi="楷体" w:eastAsia="楷体" w:cs="楷体"/>
          <w:b/>
          <w:sz w:val="32"/>
          <w:szCs w:val="32"/>
          <w:lang w:val="zh-CN"/>
        </w:rPr>
      </w:pPr>
      <w:r>
        <w:rPr>
          <w:rFonts w:hint="eastAsia" w:ascii="楷体" w:hAnsi="楷体" w:eastAsia="楷体" w:cs="楷体"/>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 w:hAnsi="仿宋" w:eastAsia="仿宋" w:cs="仿宋"/>
          <w:sz w:val="32"/>
          <w:szCs w:val="32"/>
        </w:rPr>
        <w:t>培训时间短，效果不够理想</w:t>
      </w:r>
      <w:r>
        <w:rPr>
          <w:rFonts w:hint="eastAsia" w:ascii="仿宋" w:hAnsi="仿宋" w:eastAsia="仿宋" w:cs="仿宋"/>
          <w:sz w:val="32"/>
          <w:szCs w:val="32"/>
          <w:lang w:val="zh-CN"/>
        </w:rPr>
        <w:t>。</w:t>
      </w:r>
      <w:r>
        <w:rPr>
          <w:rFonts w:hint="eastAsia" w:ascii="仿宋_GB2312" w:hAnsi="宋体" w:eastAsia="仿宋_GB2312"/>
          <w:sz w:val="32"/>
          <w:szCs w:val="32"/>
          <w:lang w:val="zh-CN"/>
        </w:rPr>
        <w:tab/>
      </w:r>
    </w:p>
    <w:p>
      <w:pPr>
        <w:adjustRightInd w:val="0"/>
        <w:snapToGrid w:val="0"/>
        <w:spacing w:line="600" w:lineRule="exact"/>
        <w:ind w:left="720"/>
        <w:outlineLvl w:val="2"/>
        <w:rPr>
          <w:rFonts w:ascii="楷体" w:hAnsi="楷体" w:eastAsia="楷体" w:cs="楷体"/>
          <w:b/>
          <w:sz w:val="32"/>
          <w:szCs w:val="32"/>
          <w:lang w:val="zh-CN"/>
        </w:rPr>
      </w:pPr>
      <w:r>
        <w:rPr>
          <w:rFonts w:hint="eastAsia" w:ascii="楷体" w:hAnsi="楷体" w:eastAsia="楷体" w:cs="楷体"/>
          <w:b/>
          <w:sz w:val="32"/>
          <w:szCs w:val="32"/>
          <w:lang w:val="zh-CN"/>
        </w:rPr>
        <w:t>（三）相关建议。</w:t>
      </w:r>
    </w:p>
    <w:p>
      <w:pPr>
        <w:pStyle w:val="2"/>
        <w:spacing w:before="93"/>
        <w:ind w:firstLine="640" w:firstLineChars="200"/>
        <w:rPr>
          <w:rFonts w:ascii="仿宋" w:hAnsi="仿宋" w:eastAsia="仿宋" w:cs="仿宋"/>
          <w:kern w:val="2"/>
          <w:sz w:val="32"/>
          <w:szCs w:val="32"/>
          <w:lang w:val="zh-CN"/>
        </w:rPr>
      </w:pPr>
      <w:r>
        <w:rPr>
          <w:rFonts w:hint="eastAsia" w:ascii="仿宋" w:hAnsi="仿宋" w:eastAsia="仿宋" w:cs="仿宋"/>
          <w:kern w:val="2"/>
          <w:sz w:val="32"/>
          <w:szCs w:val="32"/>
          <w:lang w:val="zh-CN"/>
        </w:rPr>
        <w:t>政策建议：县财政加大资金投入，增加培训时长，更好地熟练掌握技术。</w:t>
      </w:r>
    </w:p>
    <w:tbl>
      <w:tblPr>
        <w:tblStyle w:val="14"/>
        <w:tblW w:w="8320" w:type="dxa"/>
        <w:tblInd w:w="93" w:type="dxa"/>
        <w:tblLayout w:type="autofit"/>
        <w:tblCellMar>
          <w:top w:w="0" w:type="dxa"/>
          <w:left w:w="108" w:type="dxa"/>
          <w:bottom w:w="0" w:type="dxa"/>
          <w:right w:w="108" w:type="dxa"/>
        </w:tblCellMar>
      </w:tblPr>
      <w:tblGrid>
        <w:gridCol w:w="747"/>
        <w:gridCol w:w="747"/>
        <w:gridCol w:w="821"/>
        <w:gridCol w:w="821"/>
        <w:gridCol w:w="719"/>
        <w:gridCol w:w="747"/>
        <w:gridCol w:w="620"/>
        <w:gridCol w:w="917"/>
        <w:gridCol w:w="719"/>
        <w:gridCol w:w="734"/>
        <w:gridCol w:w="728"/>
      </w:tblGrid>
      <w:tr>
        <w:tblPrEx>
          <w:tblCellMar>
            <w:top w:w="0" w:type="dxa"/>
            <w:left w:w="108" w:type="dxa"/>
            <w:bottom w:w="0" w:type="dxa"/>
            <w:right w:w="108" w:type="dxa"/>
          </w:tblCellMar>
        </w:tblPrEx>
        <w:trPr>
          <w:trHeight w:val="698" w:hRule="atLeast"/>
        </w:trPr>
        <w:tc>
          <w:tcPr>
            <w:tcW w:w="83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364" w:hRule="atLeast"/>
        </w:trPr>
        <w:tc>
          <w:tcPr>
            <w:tcW w:w="1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68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残疾人就业和扶贫</w:t>
            </w:r>
          </w:p>
        </w:tc>
      </w:tr>
      <w:tr>
        <w:tblPrEx>
          <w:tblCellMar>
            <w:top w:w="0" w:type="dxa"/>
            <w:left w:w="108" w:type="dxa"/>
            <w:bottom w:w="0" w:type="dxa"/>
            <w:right w:w="108" w:type="dxa"/>
          </w:tblCellMar>
        </w:tblPrEx>
        <w:trPr>
          <w:trHeight w:val="975" w:hRule="atLeast"/>
        </w:trPr>
        <w:tc>
          <w:tcPr>
            <w:tcW w:w="1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37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岳池县残疾人联合会</w:t>
            </w:r>
          </w:p>
        </w:tc>
        <w:tc>
          <w:tcPr>
            <w:tcW w:w="917" w:type="dxa"/>
            <w:tcBorders>
              <w:top w:val="nil"/>
              <w:left w:val="nil"/>
              <w:bottom w:val="nil"/>
              <w:right w:val="nil"/>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岳池县残疾人联合会</w:t>
            </w:r>
          </w:p>
        </w:tc>
      </w:tr>
      <w:tr>
        <w:tblPrEx>
          <w:tblCellMar>
            <w:top w:w="0" w:type="dxa"/>
            <w:left w:w="108" w:type="dxa"/>
            <w:bottom w:w="0" w:type="dxa"/>
            <w:right w:w="108" w:type="dxa"/>
          </w:tblCellMar>
        </w:tblPrEx>
        <w:trPr>
          <w:trHeight w:val="321"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37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3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108" w:type="dxa"/>
            <w:bottom w:w="0" w:type="dxa"/>
            <w:right w:w="108" w:type="dxa"/>
          </w:tblCellMar>
        </w:tblPrEx>
        <w:trPr>
          <w:trHeight w:val="1576"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37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为15名残疾人提供技术培训，让他们掌握1-2门技术，</w:t>
            </w:r>
            <w:r>
              <w:rPr>
                <w:rFonts w:hint="eastAsia" w:ascii="宋体" w:hAnsi="宋体" w:cs="宋体"/>
                <w:color w:val="000000"/>
                <w:kern w:val="0"/>
                <w:sz w:val="18"/>
                <w:szCs w:val="18"/>
              </w:rPr>
              <w:t>促进</w:t>
            </w:r>
            <w:r>
              <w:rPr>
                <w:rFonts w:ascii="宋体" w:hAnsi="宋体" w:cs="宋体"/>
                <w:color w:val="000000"/>
                <w:kern w:val="0"/>
                <w:sz w:val="18"/>
                <w:szCs w:val="18"/>
              </w:rPr>
              <w:t>就业。</w:t>
            </w:r>
          </w:p>
        </w:tc>
        <w:tc>
          <w:tcPr>
            <w:tcW w:w="3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为15名残疾人提供技术培训，让他们掌握1-2门技术，帮助他们就业。</w:t>
            </w:r>
          </w:p>
        </w:tc>
      </w:tr>
      <w:tr>
        <w:tblPrEx>
          <w:tblCellMar>
            <w:top w:w="0" w:type="dxa"/>
            <w:left w:w="108" w:type="dxa"/>
            <w:bottom w:w="0" w:type="dxa"/>
            <w:right w:w="108" w:type="dxa"/>
          </w:tblCellMar>
        </w:tblPrEx>
        <w:trPr>
          <w:trHeight w:val="1838"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68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对残疾人进行种植、养殖等实用性技术培训，一是申请。对有需求且符合培训条件的困难残疾人进行登记以及收集残疾证、身份证原件（或户口簿）和复印件。二是审核。项目实施乡镇对困难残疾人的申请材料进行审核，审核合格后汇总确认参加残疾人实用技术培训名单报县残联备案。三是县残联通过政府采购确定培训机构。四是组织培训。项目实施由乡镇负责招集人员，培训机构统一进行培训。</w:t>
            </w:r>
          </w:p>
        </w:tc>
      </w:tr>
      <w:tr>
        <w:tblPrEx>
          <w:tblCellMar>
            <w:top w:w="0" w:type="dxa"/>
            <w:left w:w="108" w:type="dxa"/>
            <w:bottom w:w="0" w:type="dxa"/>
            <w:right w:w="108" w:type="dxa"/>
          </w:tblCellMar>
        </w:tblPrEx>
        <w:trPr>
          <w:trHeight w:val="1181"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108" w:type="dxa"/>
            <w:bottom w:w="0" w:type="dxa"/>
            <w:right w:w="108" w:type="dxa"/>
          </w:tblCellMar>
        </w:tblPrEx>
        <w:trPr>
          <w:trHeight w:val="364"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0.5832 </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0.5832 </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0.5832 </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871"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0.5832 </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0.5832 </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 xml:space="preserve">0.5832 </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1294"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554"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544"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20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i/>
                <w:iCs/>
                <w:color w:val="000000"/>
                <w:sz w:val="18"/>
                <w:szCs w:val="18"/>
              </w:rPr>
            </w:pPr>
          </w:p>
        </w:tc>
      </w:tr>
      <w:tr>
        <w:tblPrEx>
          <w:tblCellMar>
            <w:top w:w="0" w:type="dxa"/>
            <w:left w:w="108" w:type="dxa"/>
            <w:bottom w:w="0" w:type="dxa"/>
            <w:right w:w="108" w:type="dxa"/>
          </w:tblCellMar>
        </w:tblPrEx>
        <w:trPr>
          <w:trHeight w:val="1294" w:hRule="atLeast"/>
        </w:trPr>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108" w:type="dxa"/>
            <w:bottom w:w="0" w:type="dxa"/>
            <w:right w:w="108" w:type="dxa"/>
          </w:tblCellMar>
        </w:tblPrEx>
        <w:trPr>
          <w:trHeight w:val="851"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得到培训残疾人数量</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802"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技术培训完成时限</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2022年12月</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2022年12月</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899" w:hRule="atLeast"/>
        </w:trPr>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残疾人掌握基本技术</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有所提高</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有所提高</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i/>
                <w:iCs/>
                <w:color w:val="000000"/>
                <w:sz w:val="16"/>
                <w:szCs w:val="16"/>
              </w:rPr>
            </w:pPr>
          </w:p>
        </w:tc>
      </w:tr>
      <w:tr>
        <w:tblPrEx>
          <w:tblCellMar>
            <w:top w:w="0" w:type="dxa"/>
            <w:left w:w="108" w:type="dxa"/>
            <w:bottom w:w="0" w:type="dxa"/>
            <w:right w:w="108" w:type="dxa"/>
          </w:tblCellMar>
        </w:tblPrEx>
        <w:trPr>
          <w:trHeight w:val="364" w:hRule="atLeast"/>
        </w:trPr>
        <w:tc>
          <w:tcPr>
            <w:tcW w:w="61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57"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75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自评得分100分，通过培训让15名残疾人掌握1-2项农村种植、养殖技术。通过培训在一定程度上提高残疾人经济收入，残疾人生活状况得到改善。</w:t>
            </w:r>
          </w:p>
        </w:tc>
      </w:tr>
      <w:tr>
        <w:tblPrEx>
          <w:tblCellMar>
            <w:top w:w="0" w:type="dxa"/>
            <w:left w:w="108" w:type="dxa"/>
            <w:bottom w:w="0" w:type="dxa"/>
            <w:right w:w="108" w:type="dxa"/>
          </w:tblCellMar>
        </w:tblPrEx>
        <w:trPr>
          <w:trHeight w:val="544"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75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无</w:t>
            </w:r>
          </w:p>
        </w:tc>
      </w:tr>
      <w:tr>
        <w:tblPrEx>
          <w:tblCellMar>
            <w:top w:w="0" w:type="dxa"/>
            <w:left w:w="108" w:type="dxa"/>
            <w:bottom w:w="0" w:type="dxa"/>
            <w:right w:w="108" w:type="dxa"/>
          </w:tblCellMar>
        </w:tblPrEx>
        <w:trPr>
          <w:trHeight w:val="523"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75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微软雅黑" w:hAnsi="微软雅黑" w:eastAsia="微软雅黑" w:cs="微软雅黑"/>
                <w:color w:val="000000"/>
                <w:sz w:val="16"/>
                <w:szCs w:val="16"/>
              </w:rPr>
            </w:pPr>
            <w:r>
              <w:rPr>
                <w:rFonts w:hint="eastAsia" w:ascii="微软雅黑" w:hAnsi="微软雅黑" w:eastAsia="微软雅黑" w:cs="微软雅黑"/>
                <w:color w:val="000000"/>
                <w:sz w:val="16"/>
                <w:szCs w:val="16"/>
              </w:rPr>
              <w:t>无</w:t>
            </w:r>
          </w:p>
        </w:tc>
      </w:tr>
      <w:tr>
        <w:tblPrEx>
          <w:tblCellMar>
            <w:top w:w="0" w:type="dxa"/>
            <w:left w:w="108" w:type="dxa"/>
            <w:bottom w:w="0" w:type="dxa"/>
            <w:right w:w="108" w:type="dxa"/>
          </w:tblCellMar>
        </w:tblPrEx>
        <w:trPr>
          <w:trHeight w:val="364" w:hRule="atLeast"/>
        </w:trPr>
        <w:tc>
          <w:tcPr>
            <w:tcW w:w="3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项目负责人：刘云权</w:t>
            </w:r>
          </w:p>
        </w:tc>
        <w:tc>
          <w:tcPr>
            <w:tcW w:w="44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财务负责人：王红</w:t>
            </w:r>
          </w:p>
        </w:tc>
      </w:tr>
    </w:tbl>
    <w:p>
      <w:pPr>
        <w:spacing w:line="590" w:lineRule="exact"/>
        <w:jc w:val="center"/>
        <w:outlineLvl w:val="0"/>
        <w:rPr>
          <w:rFonts w:eastAsia="黑体"/>
          <w:color w:val="000000"/>
          <w:sz w:val="44"/>
          <w:szCs w:val="44"/>
        </w:rPr>
      </w:pPr>
    </w:p>
    <w:p>
      <w:pPr>
        <w:pStyle w:val="2"/>
        <w:spacing w:before="93"/>
      </w:pPr>
      <w:r>
        <w:br w:type="page"/>
      </w:r>
    </w:p>
    <w:p>
      <w:pPr>
        <w:spacing w:line="600" w:lineRule="exact"/>
        <w:jc w:val="center"/>
        <w:outlineLvl w:val="0"/>
        <w:rPr>
          <w:rStyle w:val="26"/>
          <w:rFonts w:eastAsia="黑体"/>
          <w:b w:val="0"/>
        </w:rPr>
      </w:pPr>
      <w:r>
        <w:rPr>
          <w:rFonts w:eastAsia="黑体"/>
          <w:color w:val="000000"/>
          <w:sz w:val="44"/>
          <w:szCs w:val="44"/>
        </w:rPr>
        <w:t>第</w:t>
      </w:r>
      <w:r>
        <w:rPr>
          <w:rStyle w:val="26"/>
          <w:rFonts w:eastAsia="黑体"/>
          <w:b w:val="0"/>
        </w:rPr>
        <w:t>五部分 附表</w:t>
      </w:r>
      <w:bookmarkEnd w:id="18"/>
      <w:bookmarkEnd w:id="19"/>
    </w:p>
    <w:p>
      <w:pPr>
        <w:pStyle w:val="4"/>
        <w:rPr>
          <w:rFonts w:ascii="Times New Roman" w:hAnsi="Times New Roman" w:eastAsia="仿宋" w:cs="Times New Roman"/>
          <w:color w:val="000000"/>
        </w:rPr>
      </w:pPr>
      <w:bookmarkStart w:id="206" w:name="_Toc15396619"/>
      <w:r>
        <w:rPr>
          <w:rFonts w:ascii="Times New Roman" w:hAnsi="Times New Roman" w:eastAsia="仿宋" w:cs="Times New Roman"/>
          <w:b w:val="0"/>
          <w:color w:val="000000"/>
        </w:rPr>
        <w:t>一、收</w:t>
      </w:r>
      <w:r>
        <w:rPr>
          <w:rStyle w:val="27"/>
          <w:rFonts w:ascii="Times New Roman" w:hAnsi="Times New Roman" w:eastAsia="仿宋" w:cs="Times New Roman"/>
          <w:b w:val="0"/>
          <w:bCs w:val="0"/>
        </w:rPr>
        <w:t>入支出决算总表</w:t>
      </w:r>
      <w:bookmarkEnd w:id="206"/>
    </w:p>
    <w:p>
      <w:pPr>
        <w:pStyle w:val="4"/>
        <w:rPr>
          <w:rFonts w:ascii="Times New Roman" w:hAnsi="Times New Roman" w:eastAsia="仿宋" w:cs="Times New Roman"/>
          <w:color w:val="000000"/>
        </w:rPr>
      </w:pPr>
      <w:bookmarkStart w:id="207" w:name="_Toc15396620"/>
      <w:r>
        <w:rPr>
          <w:rFonts w:ascii="Times New Roman" w:hAnsi="Times New Roman" w:eastAsia="仿宋" w:cs="Times New Roman"/>
          <w:b w:val="0"/>
          <w:color w:val="000000"/>
        </w:rPr>
        <w:t>二、收</w:t>
      </w:r>
      <w:r>
        <w:rPr>
          <w:rStyle w:val="27"/>
          <w:rFonts w:ascii="Times New Roman" w:hAnsi="Times New Roman" w:eastAsia="仿宋" w:cs="Times New Roman"/>
          <w:b w:val="0"/>
          <w:bCs w:val="0"/>
        </w:rPr>
        <w:t>入决算表</w:t>
      </w:r>
      <w:bookmarkEnd w:id="207"/>
    </w:p>
    <w:p>
      <w:pPr>
        <w:pStyle w:val="4"/>
        <w:rPr>
          <w:rFonts w:ascii="Times New Roman" w:hAnsi="Times New Roman" w:eastAsia="仿宋" w:cs="Times New Roman"/>
          <w:color w:val="000000"/>
        </w:rPr>
      </w:pPr>
      <w:bookmarkStart w:id="208" w:name="_Toc15396621"/>
      <w:r>
        <w:rPr>
          <w:rStyle w:val="27"/>
          <w:rFonts w:ascii="Times New Roman" w:hAnsi="Times New Roman" w:eastAsia="仿宋" w:cs="Times New Roman"/>
          <w:b w:val="0"/>
          <w:bCs w:val="0"/>
        </w:rPr>
        <w:t>三、</w:t>
      </w:r>
      <w:r>
        <w:rPr>
          <w:rFonts w:ascii="Times New Roman" w:hAnsi="Times New Roman" w:eastAsia="仿宋" w:cs="Times New Roman"/>
          <w:b w:val="0"/>
          <w:color w:val="000000"/>
        </w:rPr>
        <w:t>支</w:t>
      </w:r>
      <w:r>
        <w:rPr>
          <w:rStyle w:val="27"/>
          <w:rFonts w:ascii="Times New Roman" w:hAnsi="Times New Roman" w:eastAsia="仿宋" w:cs="Times New Roman"/>
          <w:b w:val="0"/>
          <w:bCs w:val="0"/>
        </w:rPr>
        <w:t>出决算表</w:t>
      </w:r>
      <w:bookmarkEnd w:id="208"/>
    </w:p>
    <w:p>
      <w:pPr>
        <w:pStyle w:val="4"/>
        <w:rPr>
          <w:rFonts w:ascii="Times New Roman" w:hAnsi="Times New Roman" w:eastAsia="仿宋" w:cs="Times New Roman"/>
          <w:b w:val="0"/>
          <w:color w:val="000000"/>
        </w:rPr>
      </w:pPr>
      <w:bookmarkStart w:id="209" w:name="_Toc15396622"/>
      <w:r>
        <w:rPr>
          <w:rStyle w:val="27"/>
          <w:rFonts w:ascii="Times New Roman" w:hAnsi="Times New Roman" w:eastAsia="仿宋" w:cs="Times New Roman"/>
          <w:b w:val="0"/>
          <w:bCs w:val="0"/>
        </w:rPr>
        <w:t>四、</w:t>
      </w:r>
      <w:r>
        <w:rPr>
          <w:rFonts w:ascii="Times New Roman" w:hAnsi="Times New Roman" w:eastAsia="仿宋" w:cs="Times New Roman"/>
          <w:b w:val="0"/>
          <w:color w:val="000000"/>
        </w:rPr>
        <w:t>财</w:t>
      </w:r>
      <w:r>
        <w:rPr>
          <w:rStyle w:val="27"/>
          <w:rFonts w:ascii="Times New Roman" w:hAnsi="Times New Roman" w:eastAsia="仿宋" w:cs="Times New Roman"/>
          <w:b w:val="0"/>
          <w:bCs w:val="0"/>
        </w:rPr>
        <w:t>政拨款收入支出决算总表</w:t>
      </w:r>
      <w:bookmarkEnd w:id="209"/>
    </w:p>
    <w:p>
      <w:pPr>
        <w:pStyle w:val="4"/>
        <w:rPr>
          <w:rStyle w:val="27"/>
          <w:rFonts w:ascii="Times New Roman" w:hAnsi="Times New Roman" w:eastAsia="仿宋" w:cs="Times New Roman"/>
          <w:b w:val="0"/>
          <w:bCs w:val="0"/>
        </w:rPr>
      </w:pPr>
      <w:bookmarkStart w:id="210" w:name="_Toc15396623"/>
      <w:r>
        <w:rPr>
          <w:rStyle w:val="27"/>
          <w:rFonts w:ascii="Times New Roman" w:hAnsi="Times New Roman" w:eastAsia="仿宋" w:cs="Times New Roman"/>
          <w:b w:val="0"/>
          <w:bCs w:val="0"/>
        </w:rPr>
        <w:t>五、</w:t>
      </w:r>
      <w:r>
        <w:rPr>
          <w:rFonts w:ascii="Times New Roman" w:hAnsi="Times New Roman" w:eastAsia="仿宋" w:cs="Times New Roman"/>
          <w:b w:val="0"/>
          <w:color w:val="000000"/>
        </w:rPr>
        <w:t>财</w:t>
      </w:r>
      <w:r>
        <w:rPr>
          <w:rStyle w:val="27"/>
          <w:rFonts w:ascii="Times New Roman" w:hAnsi="Times New Roman" w:eastAsia="仿宋" w:cs="Times New Roman"/>
          <w:b w:val="0"/>
          <w:bCs w:val="0"/>
        </w:rPr>
        <w:t>政拨款支出决算明细表</w:t>
      </w:r>
      <w:bookmarkEnd w:id="210"/>
      <w:bookmarkStart w:id="211" w:name="_Toc15396624"/>
    </w:p>
    <w:p>
      <w:pPr>
        <w:pStyle w:val="4"/>
        <w:rPr>
          <w:rFonts w:ascii="Times New Roman" w:hAnsi="Times New Roman" w:eastAsia="仿宋" w:cs="Times New Roman"/>
          <w:color w:val="000000"/>
        </w:rPr>
      </w:pPr>
      <w:r>
        <w:rPr>
          <w:rStyle w:val="27"/>
          <w:rFonts w:ascii="Times New Roman" w:hAnsi="Times New Roman" w:eastAsia="仿宋" w:cs="Times New Roman"/>
          <w:b w:val="0"/>
          <w:bCs w:val="0"/>
        </w:rPr>
        <w:t>六、</w:t>
      </w:r>
      <w:r>
        <w:rPr>
          <w:rFonts w:ascii="Times New Roman" w:hAnsi="Times New Roman" w:eastAsia="仿宋" w:cs="Times New Roman"/>
          <w:b w:val="0"/>
          <w:color w:val="000000"/>
        </w:rPr>
        <w:t>一</w:t>
      </w:r>
      <w:r>
        <w:rPr>
          <w:rStyle w:val="27"/>
          <w:rFonts w:ascii="Times New Roman" w:hAnsi="Times New Roman" w:eastAsia="仿宋" w:cs="Times New Roman"/>
          <w:b w:val="0"/>
          <w:bCs w:val="0"/>
        </w:rPr>
        <w:t>般公共预算财政拨款支出决算表</w:t>
      </w:r>
      <w:bookmarkEnd w:id="211"/>
    </w:p>
    <w:p>
      <w:pPr>
        <w:pStyle w:val="4"/>
        <w:rPr>
          <w:rFonts w:ascii="Times New Roman" w:hAnsi="Times New Roman" w:eastAsia="仿宋" w:cs="Times New Roman"/>
          <w:color w:val="000000"/>
        </w:rPr>
      </w:pPr>
      <w:bookmarkStart w:id="212" w:name="_Toc15396625"/>
      <w:r>
        <w:rPr>
          <w:rStyle w:val="27"/>
          <w:rFonts w:ascii="Times New Roman" w:hAnsi="Times New Roman" w:eastAsia="仿宋" w:cs="Times New Roman"/>
          <w:b w:val="0"/>
          <w:bCs w:val="0"/>
        </w:rPr>
        <w:t>七、</w:t>
      </w:r>
      <w:r>
        <w:rPr>
          <w:rFonts w:ascii="Times New Roman" w:hAnsi="Times New Roman" w:eastAsia="仿宋" w:cs="Times New Roman"/>
          <w:b w:val="0"/>
          <w:color w:val="000000"/>
        </w:rPr>
        <w:t>一</w:t>
      </w:r>
      <w:r>
        <w:rPr>
          <w:rStyle w:val="27"/>
          <w:rFonts w:ascii="Times New Roman" w:hAnsi="Times New Roman" w:eastAsia="仿宋" w:cs="Times New Roman"/>
          <w:b w:val="0"/>
          <w:bCs w:val="0"/>
        </w:rPr>
        <w:t>般公共预算财政拨款支出决算明细表</w:t>
      </w:r>
      <w:bookmarkEnd w:id="212"/>
    </w:p>
    <w:p>
      <w:pPr>
        <w:pStyle w:val="4"/>
        <w:rPr>
          <w:rFonts w:ascii="Times New Roman" w:hAnsi="Times New Roman" w:eastAsia="仿宋" w:cs="Times New Roman"/>
          <w:color w:val="000000"/>
        </w:rPr>
      </w:pPr>
      <w:bookmarkStart w:id="213" w:name="_Toc15396626"/>
      <w:r>
        <w:rPr>
          <w:rStyle w:val="27"/>
          <w:rFonts w:ascii="Times New Roman" w:hAnsi="Times New Roman" w:eastAsia="仿宋" w:cs="Times New Roman"/>
          <w:b w:val="0"/>
          <w:bCs w:val="0"/>
        </w:rPr>
        <w:t>八、</w:t>
      </w:r>
      <w:r>
        <w:rPr>
          <w:rFonts w:ascii="Times New Roman" w:hAnsi="Times New Roman" w:eastAsia="仿宋" w:cs="Times New Roman"/>
          <w:b w:val="0"/>
          <w:color w:val="000000"/>
        </w:rPr>
        <w:t>一</w:t>
      </w:r>
      <w:r>
        <w:rPr>
          <w:rStyle w:val="27"/>
          <w:rFonts w:ascii="Times New Roman" w:hAnsi="Times New Roman" w:eastAsia="仿宋" w:cs="Times New Roman"/>
          <w:b w:val="0"/>
          <w:bCs w:val="0"/>
        </w:rPr>
        <w:t>般公共预算财政拨款基本支出决算表</w:t>
      </w:r>
      <w:bookmarkEnd w:id="213"/>
    </w:p>
    <w:p>
      <w:pPr>
        <w:pStyle w:val="4"/>
        <w:rPr>
          <w:rFonts w:ascii="Times New Roman" w:hAnsi="Times New Roman" w:eastAsia="仿宋" w:cs="Times New Roman"/>
          <w:color w:val="000000"/>
        </w:rPr>
      </w:pPr>
      <w:bookmarkStart w:id="214" w:name="_Toc15396627"/>
      <w:r>
        <w:rPr>
          <w:rStyle w:val="27"/>
          <w:rFonts w:ascii="Times New Roman" w:hAnsi="Times New Roman" w:eastAsia="仿宋" w:cs="Times New Roman"/>
          <w:b w:val="0"/>
          <w:bCs w:val="0"/>
        </w:rPr>
        <w:t>九、</w:t>
      </w:r>
      <w:r>
        <w:rPr>
          <w:rFonts w:ascii="Times New Roman" w:hAnsi="Times New Roman" w:eastAsia="仿宋" w:cs="Times New Roman"/>
          <w:b w:val="0"/>
          <w:color w:val="000000"/>
        </w:rPr>
        <w:t>一</w:t>
      </w:r>
      <w:r>
        <w:rPr>
          <w:rStyle w:val="27"/>
          <w:rFonts w:ascii="Times New Roman" w:hAnsi="Times New Roman" w:eastAsia="仿宋" w:cs="Times New Roman"/>
          <w:b w:val="0"/>
          <w:bCs w:val="0"/>
        </w:rPr>
        <w:t>般公共预算财政拨款项目支出决算表</w:t>
      </w:r>
      <w:bookmarkEnd w:id="214"/>
    </w:p>
    <w:p>
      <w:pPr>
        <w:pStyle w:val="4"/>
        <w:rPr>
          <w:rFonts w:ascii="Times New Roman" w:hAnsi="Times New Roman" w:eastAsia="仿宋" w:cs="Times New Roman"/>
          <w:color w:val="000000"/>
        </w:rPr>
      </w:pPr>
      <w:bookmarkStart w:id="215" w:name="_Toc15396629"/>
      <w:r>
        <w:rPr>
          <w:rStyle w:val="27"/>
          <w:rFonts w:ascii="Times New Roman" w:hAnsi="Times New Roman" w:eastAsia="仿宋" w:cs="Times New Roman"/>
          <w:b w:val="0"/>
          <w:bCs w:val="0"/>
        </w:rPr>
        <w:t>十、</w:t>
      </w:r>
      <w:r>
        <w:rPr>
          <w:rFonts w:ascii="Times New Roman" w:hAnsi="Times New Roman" w:eastAsia="仿宋" w:cs="Times New Roman"/>
          <w:b w:val="0"/>
          <w:color w:val="000000"/>
        </w:rPr>
        <w:t>政</w:t>
      </w:r>
      <w:r>
        <w:rPr>
          <w:rStyle w:val="27"/>
          <w:rFonts w:ascii="Times New Roman" w:hAnsi="Times New Roman" w:eastAsia="仿宋" w:cs="Times New Roman"/>
          <w:b w:val="0"/>
          <w:bCs w:val="0"/>
        </w:rPr>
        <w:t>府性基金预算财政拨款收入支出决算表</w:t>
      </w:r>
      <w:bookmarkEnd w:id="215"/>
    </w:p>
    <w:p>
      <w:pPr>
        <w:pStyle w:val="4"/>
        <w:rPr>
          <w:rStyle w:val="27"/>
          <w:rFonts w:ascii="Times New Roman" w:hAnsi="Times New Roman" w:eastAsia="仿宋" w:cs="Times New Roman"/>
          <w:b w:val="0"/>
          <w:bCs w:val="0"/>
        </w:rPr>
      </w:pPr>
      <w:bookmarkStart w:id="216" w:name="_Toc15396631"/>
      <w:r>
        <w:rPr>
          <w:rStyle w:val="27"/>
          <w:rFonts w:ascii="Times New Roman" w:hAnsi="Times New Roman" w:eastAsia="仿宋" w:cs="Times New Roman"/>
          <w:b w:val="0"/>
          <w:bCs w:val="0"/>
        </w:rPr>
        <w:t>十一、</w:t>
      </w:r>
      <w:r>
        <w:rPr>
          <w:rFonts w:ascii="Times New Roman" w:hAnsi="Times New Roman" w:eastAsia="仿宋" w:cs="Times New Roman"/>
          <w:b w:val="0"/>
          <w:color w:val="000000"/>
        </w:rPr>
        <w:t>国有资本经营预算财政拨款收入支出决算表</w:t>
      </w:r>
    </w:p>
    <w:p>
      <w:pPr>
        <w:pStyle w:val="4"/>
        <w:rPr>
          <w:rStyle w:val="27"/>
          <w:rFonts w:ascii="Times New Roman" w:hAnsi="Times New Roman" w:eastAsia="仿宋" w:cs="Times New Roman"/>
          <w:b w:val="0"/>
          <w:bCs w:val="0"/>
        </w:rPr>
      </w:pPr>
      <w:r>
        <w:rPr>
          <w:rFonts w:ascii="Times New Roman" w:hAnsi="Times New Roman" w:eastAsia="仿宋" w:cs="Times New Roman"/>
          <w:b w:val="0"/>
          <w:color w:val="000000"/>
        </w:rPr>
        <w:t>十二、国</w:t>
      </w:r>
      <w:r>
        <w:rPr>
          <w:rStyle w:val="27"/>
          <w:rFonts w:ascii="Times New Roman" w:hAnsi="Times New Roman" w:eastAsia="仿宋" w:cs="Times New Roman"/>
          <w:b w:val="0"/>
          <w:bCs w:val="0"/>
        </w:rPr>
        <w:t>有资本经营预算财政拨款支出决算表</w:t>
      </w:r>
      <w:bookmarkEnd w:id="216"/>
    </w:p>
    <w:p>
      <w:pPr>
        <w:pStyle w:val="4"/>
        <w:rPr>
          <w:rStyle w:val="27"/>
          <w:rFonts w:ascii="Times New Roman" w:hAnsi="Times New Roman" w:eastAsia="仿宋" w:cs="Times New Roman"/>
          <w:b w:val="0"/>
          <w:bCs w:val="0"/>
          <w:color w:val="000000" w:themeColor="text1"/>
        </w:rPr>
      </w:pPr>
      <w:r>
        <w:rPr>
          <w:rFonts w:ascii="Times New Roman" w:hAnsi="Times New Roman" w:eastAsia="仿宋" w:cs="Times New Roman"/>
          <w:b w:val="0"/>
          <w:color w:val="000000"/>
        </w:rPr>
        <w:t>十三、</w:t>
      </w:r>
      <w:r>
        <w:rPr>
          <w:rStyle w:val="27"/>
          <w:rFonts w:ascii="Times New Roman" w:hAnsi="Times New Roman" w:eastAsia="仿宋" w:cs="Times New Roman"/>
          <w:b w:val="0"/>
          <w:bCs w:val="0"/>
        </w:rPr>
        <w:t>财政拨款“三公”经费支出决算表</w:t>
      </w:r>
    </w:p>
    <w:p/>
    <w:sectPr>
      <w:footerReference r:id="rId10" w:type="first"/>
      <w:footerReference r:id="rId9" w:type="default"/>
      <w:pgSz w:w="11906" w:h="16838"/>
      <w:pgMar w:top="1440" w:right="1800" w:bottom="1440" w:left="1800" w:header="851" w:footer="992" w:gutter="0"/>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auto"/>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2"/>
                  <w:spacing w:before="72"/>
                </w:pPr>
                <w:r>
                  <w:t xml:space="preserve">— </w:t>
                </w:r>
                <w:r>
                  <w:fldChar w:fldCharType="begin"/>
                </w:r>
                <w:r>
                  <w:instrText xml:space="preserve"> PAGE  \* MERGEFORMAT </w:instrText>
                </w:r>
                <w:r>
                  <w:fldChar w:fldCharType="separate"/>
                </w:r>
                <w:r>
                  <w:t>20</w:t>
                </w:r>
                <w:r>
                  <w:fldChar w:fldCharType="end"/>
                </w:r>
                <w:r>
                  <w:t xml:space="preserve"> —</w:t>
                </w:r>
              </w:p>
            </w:txbxContent>
          </v:textbox>
        </v:shape>
      </w:pic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9"/>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asciiTheme="minorEastAsia" w:hAnsiTheme="minorEastAsia" w:eastAsiaTheme="minorEastAsia" w:cstheme="minorEastAsia"/>
                    <w:sz w:val="22"/>
                    <w:szCs w:val="22"/>
                  </w:rPr>
                  <w:t>1</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9"/>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asciiTheme="minorEastAsia" w:hAnsiTheme="minorEastAsia" w:eastAsiaTheme="minorEastAsia" w:cstheme="minorEastAsia"/>
                    <w:sz w:val="22"/>
                    <w:szCs w:val="22"/>
                  </w:rPr>
                  <w:t>20</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v:textbox>
        </v:shape>
      </w:pic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0" o:spid="_x0000_s205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9"/>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PAGE  \* MERGEFORMAT </w:instrText>
                </w:r>
                <w:r>
                  <w:rPr>
                    <w:rFonts w:hint="eastAsia" w:asciiTheme="minorEastAsia" w:hAnsiTheme="minorEastAsia" w:eastAsiaTheme="minorEastAsia" w:cstheme="minorEastAsia"/>
                    <w:sz w:val="22"/>
                    <w:szCs w:val="22"/>
                  </w:rPr>
                  <w:fldChar w:fldCharType="separate"/>
                </w:r>
                <w:r>
                  <w:rPr>
                    <w:rFonts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126CF"/>
    <w:multiLevelType w:val="singleLevel"/>
    <w:tmpl w:val="831126CF"/>
    <w:lvl w:ilvl="0" w:tentative="0">
      <w:start w:val="1"/>
      <w:numFmt w:val="decimal"/>
      <w:lvlText w:val="%1."/>
      <w:lvlJc w:val="left"/>
      <w:pPr>
        <w:tabs>
          <w:tab w:val="left" w:pos="312"/>
        </w:tabs>
      </w:pPr>
    </w:lvl>
  </w:abstractNum>
  <w:abstractNum w:abstractNumId="1">
    <w:nsid w:val="9358D676"/>
    <w:multiLevelType w:val="singleLevel"/>
    <w:tmpl w:val="9358D676"/>
    <w:lvl w:ilvl="0" w:tentative="0">
      <w:start w:val="1"/>
      <w:numFmt w:val="chineseCounting"/>
      <w:suff w:val="nothing"/>
      <w:lvlText w:val="（%1）"/>
      <w:lvlJc w:val="left"/>
      <w:rPr>
        <w:rFonts w:hint="eastAsia"/>
      </w:rPr>
    </w:lvl>
  </w:abstractNum>
  <w:abstractNum w:abstractNumId="2">
    <w:nsid w:val="AD4D615F"/>
    <w:multiLevelType w:val="singleLevel"/>
    <w:tmpl w:val="AD4D615F"/>
    <w:lvl w:ilvl="0" w:tentative="0">
      <w:start w:val="2"/>
      <w:numFmt w:val="chineseCounting"/>
      <w:suff w:val="nothing"/>
      <w:lvlText w:val="（%1）"/>
      <w:lvlJc w:val="left"/>
      <w:rPr>
        <w:rFonts w:hint="eastAsia"/>
      </w:rPr>
    </w:lvl>
  </w:abstractNum>
  <w:abstractNum w:abstractNumId="3">
    <w:nsid w:val="D5AD9B16"/>
    <w:multiLevelType w:val="singleLevel"/>
    <w:tmpl w:val="D5AD9B16"/>
    <w:lvl w:ilvl="0" w:tentative="0">
      <w:start w:val="3"/>
      <w:numFmt w:val="chineseCounting"/>
      <w:suff w:val="nothing"/>
      <w:lvlText w:val="（%1）"/>
      <w:lvlJc w:val="left"/>
      <w:rPr>
        <w:rFonts w:hint="eastAsia"/>
      </w:rPr>
    </w:lvl>
  </w:abstractNum>
  <w:abstractNum w:abstractNumId="4">
    <w:nsid w:val="F8822ACF"/>
    <w:multiLevelType w:val="singleLevel"/>
    <w:tmpl w:val="F8822ACF"/>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2MzExZGY4YzIxMDhmMTAxMjRiZTE3ZDBmMGRlMDYifQ=="/>
  </w:docVars>
  <w:rsids>
    <w:rsidRoot w:val="00F1361C"/>
    <w:rsid w:val="000222C6"/>
    <w:rsid w:val="0002549F"/>
    <w:rsid w:val="000468DB"/>
    <w:rsid w:val="00055A8A"/>
    <w:rsid w:val="0006487A"/>
    <w:rsid w:val="00065F8F"/>
    <w:rsid w:val="00070A43"/>
    <w:rsid w:val="0007547B"/>
    <w:rsid w:val="000768F2"/>
    <w:rsid w:val="0009184B"/>
    <w:rsid w:val="00094236"/>
    <w:rsid w:val="0009593C"/>
    <w:rsid w:val="0009642E"/>
    <w:rsid w:val="00097322"/>
    <w:rsid w:val="000A6A92"/>
    <w:rsid w:val="000B047F"/>
    <w:rsid w:val="000B5923"/>
    <w:rsid w:val="000B5A48"/>
    <w:rsid w:val="000B6FF3"/>
    <w:rsid w:val="000C3467"/>
    <w:rsid w:val="000C3CA6"/>
    <w:rsid w:val="000C3D99"/>
    <w:rsid w:val="000C752C"/>
    <w:rsid w:val="000D1267"/>
    <w:rsid w:val="000D1D50"/>
    <w:rsid w:val="000D5782"/>
    <w:rsid w:val="000E3D69"/>
    <w:rsid w:val="000E6613"/>
    <w:rsid w:val="000E7119"/>
    <w:rsid w:val="00114E9B"/>
    <w:rsid w:val="00142216"/>
    <w:rsid w:val="00144D6A"/>
    <w:rsid w:val="0014729F"/>
    <w:rsid w:val="00157BAB"/>
    <w:rsid w:val="001654D1"/>
    <w:rsid w:val="00174518"/>
    <w:rsid w:val="0018106D"/>
    <w:rsid w:val="00186C18"/>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0A5"/>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798"/>
    <w:rsid w:val="004A711F"/>
    <w:rsid w:val="004B199D"/>
    <w:rsid w:val="004B4690"/>
    <w:rsid w:val="004E0A2D"/>
    <w:rsid w:val="004E206B"/>
    <w:rsid w:val="004E6DF7"/>
    <w:rsid w:val="004F0FBD"/>
    <w:rsid w:val="00505A47"/>
    <w:rsid w:val="00512FDA"/>
    <w:rsid w:val="00520DA0"/>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3DB"/>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1F1D"/>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55FC"/>
    <w:rsid w:val="007F5665"/>
    <w:rsid w:val="00800112"/>
    <w:rsid w:val="00813348"/>
    <w:rsid w:val="008151CB"/>
    <w:rsid w:val="008253BB"/>
    <w:rsid w:val="0083706E"/>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FD0"/>
    <w:rsid w:val="008E1DE7"/>
    <w:rsid w:val="008E707C"/>
    <w:rsid w:val="008F43B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94F18"/>
    <w:rsid w:val="00AB64C9"/>
    <w:rsid w:val="00AC3C6A"/>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424D"/>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6F2"/>
    <w:rsid w:val="00D21D89"/>
    <w:rsid w:val="00D254F7"/>
    <w:rsid w:val="00D26091"/>
    <w:rsid w:val="00D2685C"/>
    <w:rsid w:val="00D34E7C"/>
    <w:rsid w:val="00D35489"/>
    <w:rsid w:val="00D358F7"/>
    <w:rsid w:val="00D36AFE"/>
    <w:rsid w:val="00D51276"/>
    <w:rsid w:val="00D7035F"/>
    <w:rsid w:val="00DA634F"/>
    <w:rsid w:val="00DA65AC"/>
    <w:rsid w:val="00DB1913"/>
    <w:rsid w:val="00DC410D"/>
    <w:rsid w:val="00DC5A81"/>
    <w:rsid w:val="00DC68CA"/>
    <w:rsid w:val="00DC7CBA"/>
    <w:rsid w:val="00DD73B7"/>
    <w:rsid w:val="00DE2456"/>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A0A0A"/>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7009"/>
    <w:rsid w:val="00FF1E02"/>
    <w:rsid w:val="00FF30B4"/>
    <w:rsid w:val="038B549A"/>
    <w:rsid w:val="05257BB9"/>
    <w:rsid w:val="0669648E"/>
    <w:rsid w:val="06B801E1"/>
    <w:rsid w:val="09B3669D"/>
    <w:rsid w:val="0A2032A3"/>
    <w:rsid w:val="0ACB72E5"/>
    <w:rsid w:val="0BD1285F"/>
    <w:rsid w:val="0DE21480"/>
    <w:rsid w:val="0FEFF10E"/>
    <w:rsid w:val="10C055FF"/>
    <w:rsid w:val="118107EC"/>
    <w:rsid w:val="15DF74D1"/>
    <w:rsid w:val="16BB723D"/>
    <w:rsid w:val="1793097A"/>
    <w:rsid w:val="17FFB366"/>
    <w:rsid w:val="18534BA8"/>
    <w:rsid w:val="19375FF7"/>
    <w:rsid w:val="1B2E7F2E"/>
    <w:rsid w:val="1D155CEE"/>
    <w:rsid w:val="1DC54782"/>
    <w:rsid w:val="1E8B5456"/>
    <w:rsid w:val="240371BF"/>
    <w:rsid w:val="24270C66"/>
    <w:rsid w:val="26172211"/>
    <w:rsid w:val="29FD04D3"/>
    <w:rsid w:val="2BD58DEE"/>
    <w:rsid w:val="2BDC73E3"/>
    <w:rsid w:val="2CF92D3D"/>
    <w:rsid w:val="30B97C74"/>
    <w:rsid w:val="31981078"/>
    <w:rsid w:val="319F7F4E"/>
    <w:rsid w:val="31C06AA2"/>
    <w:rsid w:val="34D66C80"/>
    <w:rsid w:val="384F1DA4"/>
    <w:rsid w:val="387E5813"/>
    <w:rsid w:val="39B90593"/>
    <w:rsid w:val="3A8B515E"/>
    <w:rsid w:val="3C66733D"/>
    <w:rsid w:val="3D065BAF"/>
    <w:rsid w:val="3D3F73AB"/>
    <w:rsid w:val="3EF754C1"/>
    <w:rsid w:val="3F7F6DE7"/>
    <w:rsid w:val="3FFA232E"/>
    <w:rsid w:val="4194777E"/>
    <w:rsid w:val="421666B2"/>
    <w:rsid w:val="4574072F"/>
    <w:rsid w:val="47B01E42"/>
    <w:rsid w:val="482A15FB"/>
    <w:rsid w:val="48E74895"/>
    <w:rsid w:val="493144F7"/>
    <w:rsid w:val="49A30776"/>
    <w:rsid w:val="4B5D76B0"/>
    <w:rsid w:val="4DFE0068"/>
    <w:rsid w:val="4ECE2238"/>
    <w:rsid w:val="50667B86"/>
    <w:rsid w:val="55C04EA2"/>
    <w:rsid w:val="56C9FFDE"/>
    <w:rsid w:val="5B795474"/>
    <w:rsid w:val="5CC23611"/>
    <w:rsid w:val="631122C9"/>
    <w:rsid w:val="67704F2B"/>
    <w:rsid w:val="6C4A05C8"/>
    <w:rsid w:val="6CEE2D6F"/>
    <w:rsid w:val="6D3D2D32"/>
    <w:rsid w:val="6D4D6A44"/>
    <w:rsid w:val="6ED36BA4"/>
    <w:rsid w:val="6F072F89"/>
    <w:rsid w:val="708C3AD0"/>
    <w:rsid w:val="70C075D3"/>
    <w:rsid w:val="72734D90"/>
    <w:rsid w:val="75585ABA"/>
    <w:rsid w:val="758F699C"/>
    <w:rsid w:val="759B6318"/>
    <w:rsid w:val="75DFF505"/>
    <w:rsid w:val="76950A1B"/>
    <w:rsid w:val="774F572B"/>
    <w:rsid w:val="77BBB4F9"/>
    <w:rsid w:val="7908556B"/>
    <w:rsid w:val="79D753F9"/>
    <w:rsid w:val="7B6BF4D3"/>
    <w:rsid w:val="7BBE1B47"/>
    <w:rsid w:val="7CDC7CD3"/>
    <w:rsid w:val="7DFFD8EA"/>
    <w:rsid w:val="7FAF5630"/>
    <w:rsid w:val="9B5F793A"/>
    <w:rsid w:val="ADD3A9A6"/>
    <w:rsid w:val="B61FAF58"/>
    <w:rsid w:val="B9BDA6A3"/>
    <w:rsid w:val="D2EFB5EA"/>
    <w:rsid w:val="DF5F5FD1"/>
    <w:rsid w:val="EFFEF9CE"/>
    <w:rsid w:val="F73557F3"/>
    <w:rsid w:val="FDEA2DE3"/>
    <w:rsid w:val="FED51A50"/>
    <w:rsid w:val="FEEFAD60"/>
    <w:rsid w:val="FEFFF695"/>
    <w:rsid w:val="FF77A370"/>
    <w:rsid w:val="FFABDD17"/>
    <w:rsid w:val="FFFF3926"/>
    <w:rsid w:val="FFFFD1B3"/>
    <w:rsid w:val="FFFFD74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列出段落1"/>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四号正文"/>
    <w:basedOn w:val="1"/>
    <w:qFormat/>
    <w:uiPriority w:val="0"/>
    <w:pPr>
      <w:spacing w:line="360" w:lineRule="auto"/>
    </w:pPr>
    <w:rPr>
      <w:rFonts w:ascii="??" w:hAnsi="??"/>
      <w:color w:val="000000"/>
      <w:kern w:val="0"/>
      <w:sz w:val="28"/>
      <w:szCs w:val="21"/>
      <w:lang w:val="zh-CN"/>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21103;&#26412;&#38468;&#20214;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21103;&#26412;&#38468;&#20214;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21103;&#26412;&#38468;&#20214;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21103;&#26412;&#38468;&#20214;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21103;&#26412;&#38468;&#20214;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esktop\&#21103;&#26412;&#38468;&#20214;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[副本附件1.xlsx]Sheet1!$A$1:$D$1</c:f>
              <c:strCache>
                <c:ptCount val="4"/>
                <c:pt idx="0">
                  <c:v>2021年财政拨款总收入</c:v>
                </c:pt>
                <c:pt idx="1">
                  <c:v>2022年财政拨款总收入</c:v>
                </c:pt>
                <c:pt idx="2">
                  <c:v>2021年财政拨款总支出</c:v>
                </c:pt>
                <c:pt idx="3">
                  <c:v>2022年财政拨款总支出</c:v>
                </c:pt>
              </c:strCache>
            </c:strRef>
          </c:cat>
          <c:val>
            <c:numRef>
              <c:f>[副本附件1.xlsx]Sheet1!$A$2:$D$2</c:f>
              <c:numCache>
                <c:formatCode>General</c:formatCode>
                <c:ptCount val="4"/>
                <c:pt idx="0">
                  <c:v>918.06</c:v>
                </c:pt>
                <c:pt idx="1">
                  <c:v>1205.5</c:v>
                </c:pt>
                <c:pt idx="2">
                  <c:v>918.06</c:v>
                </c:pt>
                <c:pt idx="3">
                  <c:v>1205.5</c:v>
                </c:pt>
              </c:numCache>
            </c:numRef>
          </c:val>
        </c:ser>
        <c:dLbls>
          <c:showLegendKey val="false"/>
          <c:showVal val="true"/>
          <c:showCatName val="false"/>
          <c:showSerName val="false"/>
          <c:showPercent val="false"/>
          <c:showBubbleSize val="false"/>
        </c:dLbls>
        <c:gapWidth val="219"/>
        <c:overlap val="-27"/>
        <c:axId val="122652160"/>
        <c:axId val="122654080"/>
      </c:barChart>
      <c:catAx>
        <c:axId val="122652160"/>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22654080"/>
        <c:crosses val="autoZero"/>
        <c:auto val="true"/>
        <c:lblAlgn val="ctr"/>
        <c:lblOffset val="100"/>
        <c:noMultiLvlLbl val="false"/>
      </c:catAx>
      <c:valAx>
        <c:axId val="122654080"/>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2265216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manualLayout>
          <c:xMode val="edge"/>
          <c:yMode val="edge"/>
          <c:x val="0.429801524284389"/>
          <c:y val="0.0103163686382393"/>
        </c:manualLayout>
      </c:layout>
      <c:overlay val="false"/>
      <c:spPr>
        <a:noFill/>
        <a:ln>
          <a:noFill/>
        </a:ln>
        <a:effectLst/>
      </c:spPr>
    </c:title>
    <c:autoTitleDeleted val="false"/>
    <c:plotArea>
      <c:layout/>
      <c:pieChart>
        <c:varyColors val="true"/>
        <c:ser>
          <c:idx val="0"/>
          <c:order val="0"/>
          <c:spPr>
            <a:scene3d>
              <a:camera prst="orthographicFront"/>
              <a:lightRig rig="threePt" dir="t"/>
            </a:scene3d>
            <a:sp3d contourW="25400"/>
          </c:spPr>
          <c:explosion val="0"/>
          <c:dPt>
            <c:idx val="0"/>
            <c:bubble3D val="false"/>
            <c:spPr>
              <a:solidFill>
                <a:schemeClr val="accent1"/>
              </a:solidFill>
              <a:ln w="25400">
                <a:solidFill>
                  <a:schemeClr val="lt1"/>
                </a:solidFill>
              </a:ln>
              <a:effectLst/>
              <a:scene3d>
                <a:camera prst="orthographicFront"/>
                <a:lightRig rig="threePt" dir="t"/>
              </a:scene3d>
              <a:sp3d contourW="25400"/>
            </c:spPr>
          </c:dPt>
          <c:dPt>
            <c:idx val="1"/>
            <c:bubble3D val="false"/>
            <c:spPr>
              <a:solidFill>
                <a:schemeClr val="accent2"/>
              </a:solidFill>
              <a:ln w="25400">
                <a:solidFill>
                  <a:schemeClr val="lt1"/>
                </a:solidFill>
              </a:ln>
              <a:effectLst/>
              <a:scene3d>
                <a:camera prst="orthographicFront"/>
                <a:lightRig rig="threePt" dir="t"/>
              </a:scene3d>
              <a:sp3d contourW="25400"/>
            </c:spPr>
          </c:dPt>
          <c:dLbls>
            <c:dLbl>
              <c:idx val="0"/>
              <c:layout>
                <c:manualLayout>
                  <c:x val="-0.0625"/>
                  <c:y val="-0.194444444444444"/>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t>一般公共预算财政拨款收入1094.86万元，占</a:t>
                    </a:r>
                    <a:r>
                      <a:rPr lang="en-US" altLang="zh-CN"/>
                      <a:t>90.8%</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389488243430152"/>
                      <c:h val="0.203232462173315"/>
                    </c:manualLayout>
                  </c15:layout>
                </c:ext>
              </c:extLst>
            </c:dLbl>
            <c:dLbl>
              <c:idx val="1"/>
              <c:layout>
                <c:manualLayout>
                  <c:x val="-0.0411522633744856"/>
                  <c:y val="0.0462962962962964"/>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t>政府性基金预算拨款收入110.64万元，占</a:t>
                    </a:r>
                    <a:r>
                      <a:rPr lang="en-US" altLang="zh-CN"/>
                      <a:t>9.2%</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[副本附件1.xlsx]Sheet1!$A$1:$B$1</c:f>
              <c:strCache>
                <c:ptCount val="2"/>
                <c:pt idx="0">
                  <c:v>一般公共预算财政拨款收入</c:v>
                </c:pt>
                <c:pt idx="1">
                  <c:v>政府性基金预算拨款财政拨款收入</c:v>
                </c:pt>
              </c:strCache>
            </c:strRef>
          </c:cat>
          <c:val>
            <c:numRef>
              <c:f>[副本附件1.xlsx]Sheet1!$A$2:$B$2</c:f>
              <c:numCache>
                <c:formatCode>General</c:formatCode>
                <c:ptCount val="2"/>
                <c:pt idx="0">
                  <c:v>1094.86</c:v>
                </c:pt>
                <c:pt idx="1">
                  <c:v>110.64</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t>基本支出271.4万元，占</a:t>
                    </a:r>
                    <a:r>
                      <a:rPr lang="en-US" altLang="zh-CN"/>
                      <a:t>22.7%</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239861111111111"/>
                      <c:h val="0.14212962962963"/>
                    </c:manualLayout>
                  </c15:layout>
                </c:ext>
              </c:extLst>
            </c:dLbl>
            <c:dLbl>
              <c:idx val="1"/>
              <c:layout>
                <c:manualLayout>
                  <c:x val="0.1625"/>
                  <c:y val="-0.121527777777778"/>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t>项目支出934.1万元，占</a:t>
                    </a:r>
                    <a:r>
                      <a:rPr lang="en-US" altLang="zh-CN"/>
                      <a:t>77.3%</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350972222222222"/>
                      <c:h val="0.216898148148148"/>
                    </c:manualLayout>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[副本附件1.xlsx]Sheet1!$A$1:$B$1</c:f>
              <c:strCache>
                <c:ptCount val="2"/>
                <c:pt idx="0">
                  <c:v>基本支出</c:v>
                </c:pt>
                <c:pt idx="1">
                  <c:v>项目支出</c:v>
                </c:pt>
              </c:strCache>
            </c:strRef>
          </c:cat>
          <c:val>
            <c:numRef>
              <c:f>[副本附件1.xlsx]Sheet1!$A$2:$B$2</c:f>
              <c:numCache>
                <c:formatCode>General</c:formatCode>
                <c:ptCount val="2"/>
                <c:pt idx="0">
                  <c:v>271.4</c:v>
                </c:pt>
                <c:pt idx="1">
                  <c:v>934.1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363263888888889"/>
          <c:y val="0.898611111111111"/>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[副本附件1.xlsx]Sheet1!$A$1:$D$1</c:f>
              <c:strCache>
                <c:ptCount val="4"/>
                <c:pt idx="0">
                  <c:v>2022年度财政拨款收入</c:v>
                </c:pt>
                <c:pt idx="1">
                  <c:v>2022年度财政拨款支出</c:v>
                </c:pt>
                <c:pt idx="2">
                  <c:v>2021年度财政拨款收入</c:v>
                </c:pt>
                <c:pt idx="3">
                  <c:v>2021年度财政拨款支出</c:v>
                </c:pt>
              </c:strCache>
            </c:strRef>
          </c:cat>
          <c:val>
            <c:numRef>
              <c:f>[副本附件1.xlsx]Sheet1!$A$2:$D$2</c:f>
              <c:numCache>
                <c:formatCode>General</c:formatCode>
                <c:ptCount val="4"/>
                <c:pt idx="0">
                  <c:v>1205.5</c:v>
                </c:pt>
                <c:pt idx="1">
                  <c:v>1205.5</c:v>
                </c:pt>
                <c:pt idx="2">
                  <c:v>918.06</c:v>
                </c:pt>
                <c:pt idx="3">
                  <c:v>918.06</c:v>
                </c:pt>
              </c:numCache>
            </c:numRef>
          </c:val>
        </c:ser>
        <c:dLbls>
          <c:showLegendKey val="false"/>
          <c:showVal val="true"/>
          <c:showCatName val="false"/>
          <c:showSerName val="false"/>
          <c:showPercent val="false"/>
          <c:showBubbleSize val="false"/>
        </c:dLbls>
        <c:gapWidth val="219"/>
        <c:overlap val="-27"/>
        <c:axId val="141740288"/>
        <c:axId val="142236672"/>
      </c:barChart>
      <c:catAx>
        <c:axId val="141740288"/>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42236672"/>
        <c:crosses val="autoZero"/>
        <c:auto val="true"/>
        <c:lblAlgn val="ctr"/>
        <c:lblOffset val="100"/>
        <c:noMultiLvlLbl val="false"/>
      </c:catAx>
      <c:valAx>
        <c:axId val="142236672"/>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41740288"/>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[副本附件1.xlsx]Sheet1!$A$1:$B$1</c:f>
              <c:strCache>
                <c:ptCount val="2"/>
                <c:pt idx="0">
                  <c:v>2022年度一般公共预算财政拨款支出</c:v>
                </c:pt>
                <c:pt idx="1">
                  <c:v>2021年度一般公共预算财政拨款支出</c:v>
                </c:pt>
              </c:strCache>
            </c:strRef>
          </c:cat>
          <c:val>
            <c:numRef>
              <c:f>[副本附件1.xlsx]Sheet1!$A$2:$B$2</c:f>
              <c:numCache>
                <c:formatCode>General</c:formatCode>
                <c:ptCount val="2"/>
                <c:pt idx="0">
                  <c:v>1094.86</c:v>
                </c:pt>
                <c:pt idx="1">
                  <c:v>776.01</c:v>
                </c:pt>
              </c:numCache>
            </c:numRef>
          </c:val>
        </c:ser>
        <c:dLbls>
          <c:showLegendKey val="false"/>
          <c:showVal val="true"/>
          <c:showCatName val="false"/>
          <c:showSerName val="false"/>
          <c:showPercent val="false"/>
          <c:showBubbleSize val="false"/>
        </c:dLbls>
        <c:gapWidth val="219"/>
        <c:overlap val="-27"/>
        <c:axId val="158573312"/>
        <c:axId val="158574848"/>
      </c:barChart>
      <c:catAx>
        <c:axId val="158573312"/>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58574848"/>
        <c:crosses val="autoZero"/>
        <c:auto val="true"/>
        <c:lblAlgn val="ctr"/>
        <c:lblOffset val="100"/>
        <c:noMultiLvlLbl val="false"/>
      </c:catAx>
      <c:valAx>
        <c:axId val="158574848"/>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58573312"/>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dPt>
          <c:dPt>
            <c:idx val="1"/>
            <c:bubble3D val="false"/>
          </c:dPt>
          <c:dPt>
            <c:idx val="2"/>
            <c:bubble3D val="false"/>
          </c:dPt>
          <c:dPt>
            <c:idx val="3"/>
            <c:bubble3D val="false"/>
          </c:dPt>
          <c:dLbls>
            <c:dLbl>
              <c:idx val="0"/>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en-US" altLang="en-US"/>
                      <a:t>91.24%</a:t>
                    </a:r>
                    <a:endParaRPr lang="en-US" altLang="en-US"/>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dLbl>
              <c:idx val="1"/>
              <c:layout>
                <c:manualLayout>
                  <c:x val="-0.0841443484150243"/>
                  <c:y val="-0.0452078947058571"/>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en-US" altLang="en-US"/>
                      <a:t>0.56%</a:t>
                    </a:r>
                    <a:endParaRPr lang="en-US" altLang="en-US"/>
                  </a:p>
                </c:rich>
              </c:tx>
              <c:dLblPos val="inEnd"/>
              <c:showLegendKey val="false"/>
              <c:showVal val="false"/>
              <c:showCatName val="false"/>
              <c:showSerName val="false"/>
              <c:showPercent val="true"/>
              <c:showBubbleSize val="false"/>
              <c:extLst>
                <c:ext xmlns:c15="http://schemas.microsoft.com/office/drawing/2012/chart" uri="{CE6537A1-D6FC-4f65-9D91-7224C49458BB}">
                  <c15:layout/>
                </c:ext>
              </c:extLst>
            </c:dLbl>
            <c:dLbl>
              <c:idx val="2"/>
              <c:layout>
                <c:manualLayout>
                  <c:x val="-0.0537590733079109"/>
                  <c:y val="-0.0938933197737032"/>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en-US" altLang="en-US"/>
                      <a:t>0.89%</a:t>
                    </a:r>
                    <a:endParaRPr lang="en-US" altLang="en-US"/>
                  </a:p>
                </c:rich>
              </c:tx>
              <c:dLblPos val="inEnd"/>
              <c:showLegendKey val="false"/>
              <c:showVal val="false"/>
              <c:showCatName val="false"/>
              <c:showSerName val="false"/>
              <c:showPercent val="true"/>
              <c:showBubbleSize val="false"/>
              <c:extLst>
                <c:ext xmlns:c15="http://schemas.microsoft.com/office/drawing/2012/chart" uri="{CE6537A1-D6FC-4f65-9D91-7224C49458BB}">
                  <c15:layout/>
                </c:ext>
              </c:extLst>
            </c:dLbl>
            <c:dLbl>
              <c:idx val="3"/>
              <c:layout>
                <c:manualLayout>
                  <c:x val="0.00934937204611375"/>
                  <c:y val="0.0417303643438681"/>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en-US" altLang="en-US"/>
                      <a:t>7.31%</a:t>
                    </a:r>
                    <a:endParaRPr lang="en-US" altLang="en-US"/>
                  </a:p>
                </c:rich>
              </c:tx>
              <c:dLblPos val="inEnd"/>
              <c:showLegendKey val="false"/>
              <c:showVal val="fals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Sheet1!$C$26:$F$26</c:f>
              <c:strCache>
                <c:ptCount val="4"/>
                <c:pt idx="0">
                  <c:v>社会保障和就业支出</c:v>
                </c:pt>
                <c:pt idx="1">
                  <c:v>卫生健康支出</c:v>
                </c:pt>
                <c:pt idx="2">
                  <c:v>住房保障支出</c:v>
                </c:pt>
                <c:pt idx="3">
                  <c:v>农林水支出</c:v>
                </c:pt>
              </c:strCache>
            </c:strRef>
          </c:cat>
          <c:val>
            <c:numRef>
              <c:f>Sheet1!$C$27:$F$27</c:f>
              <c:numCache>
                <c:formatCode>General</c:formatCode>
                <c:ptCount val="4"/>
                <c:pt idx="0">
                  <c:v>998.93</c:v>
                </c:pt>
                <c:pt idx="1">
                  <c:v>6.13</c:v>
                </c:pt>
                <c:pt idx="2">
                  <c:v>9.79</c:v>
                </c:pt>
                <c:pt idx="3">
                  <c:v>80</c:v>
                </c:pt>
              </c:numCache>
            </c:numRef>
          </c:val>
        </c:ser>
        <c:dLbls>
          <c:showLegendKey val="false"/>
          <c:showVal val="false"/>
          <c:showCatName val="false"/>
          <c:showSerName val="false"/>
          <c:showPercent val="tru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经费财政拨款支出结构</a:t>
            </a:r>
            <a:endParaRPr altLang="en-US"/>
          </a:p>
        </c:rich>
      </c:tx>
      <c:layout/>
      <c:overlay val="false"/>
      <c:spPr>
        <a:noFill/>
        <a:ln>
          <a:noFill/>
        </a:ln>
        <a:effectLst/>
      </c:spPr>
    </c:title>
    <c:autoTitleDeleted val="false"/>
    <c:plotArea>
      <c:layout/>
      <c:pieChart>
        <c:varyColors val="true"/>
        <c:ser>
          <c:idx val="0"/>
          <c:order val="0"/>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00868284632424752"/>
                  <c:y val="0.0937787312346697"/>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t>公务接待费0.21万元，占</a:t>
                    </a:r>
                    <a:r>
                      <a:rPr lang="en-US" altLang="zh-CN"/>
                      <a:t>13%</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274027777777778"/>
                      <c:h val="0.14212962962963"/>
                    </c:manualLayout>
                  </c15:layout>
                </c:ext>
              </c:extLst>
            </c:dLbl>
            <c:dLbl>
              <c:idx val="1"/>
              <c:layout>
                <c:manualLayout>
                  <c:x val="0.0622858449150019"/>
                  <c:y val="-0.162557806496167"/>
                </c:manualLayout>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t>公务车购置及运行维护费支出1.37万元，占</a:t>
                    </a:r>
                    <a:r>
                      <a:rPr lang="en-US" altLang="zh-CN"/>
                      <a:t>87%</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2875"/>
                      <c:h val="0.1875"/>
                    </c:manualLayout>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[副本附件1.xlsx]Sheet1!$A$1:$B$1</c:f>
              <c:strCache>
                <c:ptCount val="2"/>
                <c:pt idx="0">
                  <c:v>公务接待费支出</c:v>
                </c:pt>
                <c:pt idx="1">
                  <c:v>公务车购置及运行维护费支出</c:v>
                </c:pt>
              </c:strCache>
            </c:strRef>
          </c:cat>
          <c:val>
            <c:numRef>
              <c:f>[副本附件1.xlsx]Sheet1!$A$2:$B$2</c:f>
              <c:numCache>
                <c:formatCode>General</c:formatCode>
                <c:ptCount val="2"/>
                <c:pt idx="0">
                  <c:v>0.21</c:v>
                </c:pt>
                <c:pt idx="1">
                  <c:v>1.37</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50</Pages>
  <Words>3275</Words>
  <Characters>18668</Characters>
  <Lines>155</Lines>
  <Paragraphs>43</Paragraphs>
  <TotalTime>72</TotalTime>
  <ScaleCrop>false</ScaleCrop>
  <LinksUpToDate>false</LinksUpToDate>
  <CharactersWithSpaces>21900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2020-08-08T09:49:00Z</dcterms:created>
  <dc:creator>曹颖</dc:creator>
  <cp:lastModifiedBy>kylin</cp:lastModifiedBy>
  <cp:lastPrinted>2021-08-02T11:56:00Z</cp:lastPrinted>
  <dcterms:modified xsi:type="dcterms:W3CDTF">2023-10-27T11:47:29Z</dcterms:modified>
  <dc:title>四川省***</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439BF7309F7A45F480C32CCA1E5B02F4</vt:lpwstr>
  </property>
</Properties>
</file>