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770"/>
        <w:gridCol w:w="1770"/>
        <w:gridCol w:w="1260"/>
        <w:gridCol w:w="1710"/>
        <w:gridCol w:w="1260"/>
        <w:gridCol w:w="1260"/>
        <w:gridCol w:w="1260"/>
        <w:gridCol w:w="1260"/>
        <w:gridCol w:w="1260"/>
      </w:tblGrid>
      <w:tr w14:paraId="3B4E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5" w:hRule="atLeast"/>
        </w:trPr>
        <w:tc>
          <w:tcPr>
            <w:tcW w:w="1324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A13FD6">
            <w:pPr>
              <w:pStyle w:val="2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3"/>
                <w:szCs w:val="33"/>
                <w:lang w:val="en-US" w:eastAsia="zh-CN" w:bidi="ar"/>
              </w:rPr>
              <w:t>附件3</w:t>
            </w:r>
          </w:p>
          <w:p w14:paraId="53A6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3"/>
                <w:szCs w:val="33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3"/>
                <w:szCs w:val="33"/>
                <w:lang w:val="en-US" w:eastAsia="zh-CN" w:bidi="ar-SA"/>
              </w:rPr>
              <w:t>充电基础设施建设运营项目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拟实施点位</w:t>
            </w:r>
          </w:p>
        </w:tc>
      </w:tr>
      <w:tr w14:paraId="3CDF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区域位置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产权所属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单位/公司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产权所属方资产所有制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现有停车位数量（个）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是否允许公众车辆进入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拟建充电桩数量(枪）≥60KW时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B28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荣耀城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东湖公园内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岳池发展建设集团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公有制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6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已建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</w:t>
            </w:r>
          </w:p>
        </w:tc>
      </w:tr>
      <w:tr w14:paraId="4F01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明军大酒店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翔凤大道明军大酒店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岳池县发展建设集团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公有制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30F8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4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已建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</w:t>
            </w:r>
          </w:p>
        </w:tc>
      </w:tr>
      <w:tr w14:paraId="2560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0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低坑瀑布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岳池坪滩镇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混合所有制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已建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</w:t>
            </w:r>
          </w:p>
        </w:tc>
      </w:tr>
      <w:tr w14:paraId="620B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9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湖公园旁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2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公有制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5138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B255">
            <w:pP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3E0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荣新悦城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银城大道与翔凤大道交界处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0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公有制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2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9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3A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E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御龙湾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岳池县余家河公园花田路上段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岳池发展建设集团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公有制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96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岳池县凤山小学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岳池县凤山小学宿舍楼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岳池县凤山小学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公有制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7F2E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25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E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世纪家园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假日游泳馆对面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岳池县发展建设集团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公有制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762F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FE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2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268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注：1.此规划建设点位为预规划点位，最终建设地点根据实际电力负荷等因素合理调整，充电枪任务数量不低于90把枪。</w:t>
            </w:r>
          </w:p>
          <w:p w14:paraId="3E351F3D">
            <w:pPr>
              <w:pStyle w:val="2"/>
              <w:ind w:left="360" w:hanging="362" w:hanging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2.为展现项目示范作用，拟建充电桩需建设投入部分华为液冷充电桩（采用480-600kw液冷主机，配置额定功率480kw液冷超充枪两把，180kw自然冷快充枪两把）。</w:t>
            </w:r>
          </w:p>
        </w:tc>
      </w:tr>
    </w:tbl>
    <w:p w14:paraId="474CD915">
      <w:pPr>
        <w:pStyle w:val="2"/>
      </w:pPr>
    </w:p>
    <w:p w14:paraId="43EE57D2">
      <w:bookmarkStart w:id="0" w:name="_GoBack"/>
      <w:bookmarkEnd w:id="0"/>
    </w:p>
    <w:sectPr>
      <w:pgSz w:w="16840" w:h="11907" w:orient="landscape"/>
      <w:pgMar w:top="1531" w:right="2041" w:bottom="1531" w:left="1701" w:header="851" w:footer="1531" w:gutter="0"/>
      <w:pgNumType w:fmt="decimal"/>
      <w:cols w:space="720" w:num="1"/>
      <w:docGrid w:type="linesAndChars" w:linePitch="590" w:charSpace="2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33B82"/>
    <w:rsid w:val="412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2025-01-15T07:14:00Z</dcterms:created>
  <dc:creator>迎曦</dc:creator>
  <cp:lastModifiedBy>迎曦</cp:lastModifiedBy>
  <dcterms:modified xsi:type="dcterms:W3CDTF">2025-01-15T07:15:05Z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178D07A3A1D94C4FB2A4F69498A8BED9_11</vt:lpwstr>
  </property>
  <property fmtid="{D5CDD505-2E9C-101B-9397-08002B2CF9AE}" pid="4" name="KSOTemplateDocerSaveRecord">
    <vt:lpwstr>eyJoZGlkIjoiMTUxODQ2MmRiNmRhOGM3ODgyZTU0NDcxMTA0YjNhMzAiLCJ1c2VySWQiOiIyNzE3NTQxMTkifQ==</vt:lpwstr>
  </property>
</Properties>
</file>