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61617">
      <w:pPr>
        <w:pageBreakBefore w:val="0"/>
        <w:widowControl w:val="0"/>
        <w:kinsoku/>
        <w:wordWrap/>
        <w:topLinePunct w:val="0"/>
        <w:bidi w:val="0"/>
        <w:jc w:val="left"/>
        <w:rPr>
          <w:rFonts w:hint="eastAsia" w:ascii="Times New Roman" w:hAnsi="Times New Roman" w:eastAsia="方正仿宋_GBK" w:cs="方正仿宋_GBK"/>
          <w:b/>
          <w:bCs/>
          <w:color w:val="auto"/>
          <w:sz w:val="32"/>
          <w:szCs w:val="32"/>
          <w:lang w:val="en-US" w:eastAsia="zh-CN"/>
        </w:rPr>
      </w:pPr>
      <w:r>
        <w:rPr>
          <w:rFonts w:hint="eastAsia" w:ascii="方正黑体_GBK" w:hAnsi="方正黑体_GBK" w:eastAsia="方正黑体_GBK" w:cs="方正黑体_GBK"/>
          <w:b w:val="0"/>
          <w:bCs w:val="0"/>
          <w:color w:val="auto"/>
          <w:sz w:val="33"/>
          <w:szCs w:val="33"/>
          <w:lang w:val="en-US" w:eastAsia="zh-CN"/>
        </w:rPr>
        <w:t>附件</w:t>
      </w:r>
    </w:p>
    <w:p w14:paraId="4FD889C0">
      <w:pPr>
        <w:pageBreakBefore w:val="0"/>
        <w:widowControl w:val="0"/>
        <w:kinsoku/>
        <w:wordWrap/>
        <w:topLinePunct w:val="0"/>
        <w:bidi w:val="0"/>
        <w:jc w:val="center"/>
        <w:rPr>
          <w:rFonts w:hint="eastAsia" w:ascii="Times New Roman" w:hAnsi="Times New Roman" w:eastAsia="方正小标宋_GBK" w:cs="方正小标宋_GBK"/>
          <w:color w:val="auto"/>
          <w:sz w:val="44"/>
          <w:szCs w:val="44"/>
          <w:lang w:val="en-US" w:eastAsia="zh-CN"/>
        </w:rPr>
      </w:pPr>
      <w:bookmarkStart w:id="0" w:name="_GoBack"/>
      <w:r>
        <w:rPr>
          <w:rFonts w:hint="eastAsia" w:ascii="Times New Roman" w:hAnsi="Times New Roman" w:eastAsia="方正小标宋_GBK" w:cs="方正小标宋_GBK"/>
          <w:color w:val="auto"/>
          <w:sz w:val="44"/>
          <w:szCs w:val="44"/>
          <w:lang w:val="en-US" w:eastAsia="zh-CN"/>
        </w:rPr>
        <w:t>岳池县教育科技和体育局涉企行政检查事项清单</w:t>
      </w:r>
    </w:p>
    <w:bookmarkEnd w:id="0"/>
    <w:tbl>
      <w:tblPr>
        <w:tblStyle w:val="4"/>
        <w:tblW w:w="1462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0"/>
        <w:gridCol w:w="4515"/>
        <w:gridCol w:w="2235"/>
        <w:gridCol w:w="5115"/>
      </w:tblGrid>
      <w:tr w14:paraId="294A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0" w:type="dxa"/>
            <w:noWrap w:val="0"/>
            <w:vAlign w:val="top"/>
          </w:tcPr>
          <w:p w14:paraId="33615D0C">
            <w:pPr>
              <w:pageBreakBefore w:val="0"/>
              <w:widowControl w:val="0"/>
              <w:kinsoku/>
              <w:wordWrap/>
              <w:topLinePunct w:val="0"/>
              <w:bidi w:val="0"/>
              <w:jc w:val="center"/>
              <w:rPr>
                <w:rFonts w:hint="eastAsia" w:ascii="Times New Roman" w:hAnsi="Times New Roman" w:eastAsia="方正黑体_GBK" w:cs="方正黑体_GBK"/>
                <w:color w:val="auto"/>
                <w:sz w:val="32"/>
                <w:szCs w:val="32"/>
                <w:vertAlign w:val="baseline"/>
                <w:lang w:val="en-US" w:eastAsia="zh-CN"/>
              </w:rPr>
            </w:pPr>
            <w:r>
              <w:rPr>
                <w:rFonts w:hint="eastAsia" w:ascii="Times New Roman" w:hAnsi="Times New Roman" w:eastAsia="方正黑体_GBK" w:cs="方正黑体_GBK"/>
                <w:color w:val="auto"/>
                <w:sz w:val="32"/>
                <w:szCs w:val="32"/>
                <w:vertAlign w:val="baseline"/>
                <w:lang w:val="en-US" w:eastAsia="zh-CN"/>
              </w:rPr>
              <w:t>检查事项名称</w:t>
            </w:r>
          </w:p>
        </w:tc>
        <w:tc>
          <w:tcPr>
            <w:tcW w:w="4515" w:type="dxa"/>
            <w:noWrap w:val="0"/>
            <w:vAlign w:val="top"/>
          </w:tcPr>
          <w:p w14:paraId="1A2A994A">
            <w:pPr>
              <w:pageBreakBefore w:val="0"/>
              <w:widowControl w:val="0"/>
              <w:kinsoku/>
              <w:wordWrap/>
              <w:topLinePunct w:val="0"/>
              <w:bidi w:val="0"/>
              <w:jc w:val="center"/>
              <w:rPr>
                <w:rFonts w:hint="eastAsia" w:ascii="Times New Roman" w:hAnsi="Times New Roman" w:eastAsia="方正黑体_GBK" w:cs="方正黑体_GBK"/>
                <w:color w:val="auto"/>
                <w:sz w:val="32"/>
                <w:szCs w:val="32"/>
                <w:vertAlign w:val="baseline"/>
                <w:lang w:val="en-US" w:eastAsia="zh-CN"/>
              </w:rPr>
            </w:pPr>
            <w:r>
              <w:rPr>
                <w:rFonts w:hint="eastAsia" w:ascii="Times New Roman" w:hAnsi="Times New Roman" w:eastAsia="方正黑体_GBK" w:cs="方正黑体_GBK"/>
                <w:color w:val="auto"/>
                <w:sz w:val="32"/>
                <w:szCs w:val="32"/>
                <w:vertAlign w:val="baseline"/>
                <w:lang w:val="en-US" w:eastAsia="zh-CN"/>
              </w:rPr>
              <w:t>检查依据</w:t>
            </w:r>
          </w:p>
        </w:tc>
        <w:tc>
          <w:tcPr>
            <w:tcW w:w="2235" w:type="dxa"/>
            <w:noWrap w:val="0"/>
            <w:vAlign w:val="top"/>
          </w:tcPr>
          <w:p w14:paraId="403AEDB8">
            <w:pPr>
              <w:pageBreakBefore w:val="0"/>
              <w:widowControl w:val="0"/>
              <w:kinsoku/>
              <w:wordWrap/>
              <w:topLinePunct w:val="0"/>
              <w:bidi w:val="0"/>
              <w:jc w:val="center"/>
              <w:rPr>
                <w:rFonts w:hint="eastAsia" w:ascii="Times New Roman" w:hAnsi="Times New Roman" w:eastAsia="方正黑体_GBK" w:cs="方正黑体_GBK"/>
                <w:color w:val="auto"/>
                <w:sz w:val="32"/>
                <w:szCs w:val="32"/>
                <w:vertAlign w:val="baseline"/>
                <w:lang w:val="en-US" w:eastAsia="zh-CN"/>
              </w:rPr>
            </w:pPr>
            <w:r>
              <w:rPr>
                <w:rFonts w:hint="eastAsia" w:ascii="Times New Roman" w:hAnsi="Times New Roman" w:eastAsia="方正黑体_GBK" w:cs="方正黑体_GBK"/>
                <w:color w:val="auto"/>
                <w:sz w:val="32"/>
                <w:szCs w:val="32"/>
                <w:vertAlign w:val="baseline"/>
                <w:lang w:val="en-US" w:eastAsia="zh-CN"/>
              </w:rPr>
              <w:t>检查对象</w:t>
            </w:r>
          </w:p>
        </w:tc>
        <w:tc>
          <w:tcPr>
            <w:tcW w:w="5115" w:type="dxa"/>
            <w:noWrap w:val="0"/>
            <w:vAlign w:val="top"/>
          </w:tcPr>
          <w:p w14:paraId="63C085AF">
            <w:pPr>
              <w:pageBreakBefore w:val="0"/>
              <w:widowControl w:val="0"/>
              <w:kinsoku/>
              <w:wordWrap/>
              <w:topLinePunct w:val="0"/>
              <w:bidi w:val="0"/>
              <w:jc w:val="center"/>
              <w:rPr>
                <w:rFonts w:hint="eastAsia" w:ascii="Times New Roman" w:hAnsi="Times New Roman" w:eastAsia="方正黑体_GBK" w:cs="方正黑体_GBK"/>
                <w:color w:val="auto"/>
                <w:sz w:val="32"/>
                <w:szCs w:val="32"/>
                <w:vertAlign w:val="baseline"/>
                <w:lang w:val="en-US" w:eastAsia="zh-CN"/>
              </w:rPr>
            </w:pPr>
            <w:r>
              <w:rPr>
                <w:rFonts w:hint="eastAsia" w:ascii="Times New Roman" w:hAnsi="Times New Roman" w:eastAsia="方正黑体_GBK" w:cs="方正黑体_GBK"/>
                <w:color w:val="auto"/>
                <w:sz w:val="32"/>
                <w:szCs w:val="32"/>
                <w:vertAlign w:val="baseline"/>
                <w:lang w:val="en-US" w:eastAsia="zh-CN"/>
              </w:rPr>
              <w:t>检查标准</w:t>
            </w:r>
          </w:p>
        </w:tc>
      </w:tr>
      <w:tr w14:paraId="3AC5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noWrap w:val="0"/>
            <w:vAlign w:val="center"/>
          </w:tcPr>
          <w:p w14:paraId="07B605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小标宋_GBK" w:cs="方正小标宋_GBK"/>
                <w:color w:val="auto"/>
                <w:sz w:val="24"/>
                <w:szCs w:val="24"/>
                <w:vertAlign w:val="baseline"/>
                <w:lang w:val="en" w:eastAsia="zh-CN"/>
              </w:rPr>
            </w:pPr>
            <w:r>
              <w:rPr>
                <w:rFonts w:hint="eastAsia" w:ascii="Times New Roman" w:hAnsi="Times New Roman" w:eastAsia="方正仿宋_GBK" w:cs="方正仿宋_GBK"/>
                <w:b w:val="0"/>
                <w:bCs w:val="0"/>
                <w:snapToGrid w:val="0"/>
                <w:color w:val="auto"/>
                <w:sz w:val="24"/>
                <w:szCs w:val="24"/>
                <w:highlight w:val="none"/>
                <w:lang w:val="en-US" w:eastAsia="zh-CN"/>
              </w:rPr>
              <w:t>对本行政区域内的学校和其他教育机构教育教学工作的督导、检查</w:t>
            </w:r>
          </w:p>
        </w:tc>
        <w:tc>
          <w:tcPr>
            <w:tcW w:w="4515" w:type="dxa"/>
            <w:noWrap w:val="0"/>
            <w:vAlign w:val="center"/>
          </w:tcPr>
          <w:p w14:paraId="2842E7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b w:val="0"/>
                <w:bCs w:val="0"/>
                <w:snapToGrid w:val="0"/>
                <w:color w:val="auto"/>
                <w:sz w:val="24"/>
                <w:szCs w:val="24"/>
                <w:highlight w:val="none"/>
                <w:lang w:val="en-US" w:eastAsia="zh-CN"/>
              </w:rPr>
            </w:pPr>
            <w:r>
              <w:rPr>
                <w:rFonts w:hint="eastAsia" w:ascii="Times New Roman" w:hAnsi="Times New Roman" w:eastAsia="方正仿宋_GBK" w:cs="方正仿宋_GBK"/>
                <w:b w:val="0"/>
                <w:bCs w:val="0"/>
                <w:snapToGrid w:val="0"/>
                <w:color w:val="auto"/>
                <w:sz w:val="24"/>
                <w:szCs w:val="24"/>
                <w:highlight w:val="none"/>
                <w:lang w:val="en-US" w:eastAsia="zh-CN"/>
              </w:rPr>
              <w:t>1.《民办教育促进法》</w:t>
            </w:r>
          </w:p>
          <w:p w14:paraId="754312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方正仿宋_GBK"/>
                <w:b w:val="0"/>
                <w:bCs w:val="0"/>
                <w:snapToGrid w:val="0"/>
                <w:color w:val="auto"/>
                <w:sz w:val="24"/>
                <w:szCs w:val="24"/>
                <w:highlight w:val="none"/>
                <w:lang w:val="en-US" w:eastAsia="zh-CN"/>
              </w:rPr>
            </w:pPr>
            <w:r>
              <w:rPr>
                <w:rFonts w:hint="eastAsia" w:ascii="Times New Roman" w:hAnsi="Times New Roman" w:eastAsia="方正仿宋_GBK" w:cs="方正仿宋_GBK"/>
                <w:b w:val="0"/>
                <w:bCs w:val="0"/>
                <w:snapToGrid w:val="0"/>
                <w:color w:val="auto"/>
                <w:sz w:val="24"/>
                <w:szCs w:val="24"/>
                <w:highlight w:val="none"/>
                <w:lang w:val="en-US" w:eastAsia="zh-CN"/>
              </w:rPr>
              <w:t>2.</w:t>
            </w:r>
            <w:r>
              <w:rPr>
                <w:rFonts w:hint="default" w:ascii="Times New Roman" w:hAnsi="Times New Roman" w:eastAsia="方正仿宋_GBK" w:cs="方正仿宋_GBK"/>
                <w:b w:val="0"/>
                <w:bCs w:val="0"/>
                <w:snapToGrid w:val="0"/>
                <w:color w:val="auto"/>
                <w:sz w:val="24"/>
                <w:szCs w:val="24"/>
                <w:highlight w:val="none"/>
                <w:lang w:val="en-US" w:eastAsia="zh-CN"/>
              </w:rPr>
              <w:t>教育部办公厅等十二部门关于进一步加强学科类隐形变异培训防范治理工作的意见（教监管厅函〔2022〕15号）</w:t>
            </w:r>
          </w:p>
          <w:p w14:paraId="6C538B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小标宋_GBK" w:cs="方正小标宋_GBK"/>
                <w:color w:val="auto"/>
                <w:sz w:val="24"/>
                <w:szCs w:val="24"/>
                <w:vertAlign w:val="baseline"/>
                <w:lang w:val="en-US" w:eastAsia="zh-CN"/>
              </w:rPr>
            </w:pPr>
            <w:r>
              <w:rPr>
                <w:rFonts w:hint="eastAsia" w:ascii="Times New Roman" w:hAnsi="Times New Roman" w:eastAsia="方正仿宋_GBK" w:cs="方正仿宋_GBK"/>
                <w:b w:val="0"/>
                <w:bCs w:val="0"/>
                <w:snapToGrid w:val="0"/>
                <w:color w:val="auto"/>
                <w:sz w:val="24"/>
                <w:szCs w:val="24"/>
                <w:highlight w:val="none"/>
                <w:lang w:val="en-US" w:eastAsia="zh-CN"/>
              </w:rPr>
              <w:t>3.《四川省教育厅等五部门关于做好2025年寒假期间校外培训治理工作的通知》（川教函［2025］4号）</w:t>
            </w:r>
          </w:p>
        </w:tc>
        <w:tc>
          <w:tcPr>
            <w:tcW w:w="2235" w:type="dxa"/>
            <w:noWrap w:val="0"/>
            <w:vAlign w:val="center"/>
          </w:tcPr>
          <w:p w14:paraId="2591F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小标宋_GBK" w:cs="方正小标宋_GBK"/>
                <w:color w:val="auto"/>
                <w:sz w:val="24"/>
                <w:szCs w:val="24"/>
                <w:vertAlign w:val="baseline"/>
                <w:lang w:val="en-US" w:eastAsia="zh-CN"/>
              </w:rPr>
            </w:pPr>
            <w:r>
              <w:rPr>
                <w:rFonts w:hint="eastAsia" w:ascii="Times New Roman" w:hAnsi="Times New Roman" w:eastAsia="方正仿宋_GBK" w:cs="方正仿宋_GBK"/>
                <w:b w:val="0"/>
                <w:bCs w:val="0"/>
                <w:snapToGrid w:val="0"/>
                <w:color w:val="auto"/>
                <w:sz w:val="24"/>
                <w:szCs w:val="24"/>
                <w:highlight w:val="none"/>
                <w:lang w:val="en-US" w:eastAsia="zh-CN"/>
              </w:rPr>
              <w:t>民办中小学、民办中职学校、民办幼儿园、校外教育培训机构</w:t>
            </w:r>
          </w:p>
        </w:tc>
        <w:tc>
          <w:tcPr>
            <w:tcW w:w="5115" w:type="dxa"/>
            <w:noWrap w:val="0"/>
            <w:vAlign w:val="center"/>
          </w:tcPr>
          <w:p w14:paraId="190FE5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小标宋_GBK" w:cs="方正小标宋_GBK"/>
                <w:color w:val="auto"/>
                <w:sz w:val="24"/>
                <w:szCs w:val="24"/>
                <w:vertAlign w:val="baseline"/>
                <w:lang w:val="en-US" w:eastAsia="zh-CN"/>
              </w:rPr>
            </w:pPr>
            <w:r>
              <w:rPr>
                <w:rFonts w:hint="eastAsia" w:ascii="Times New Roman" w:hAnsi="Times New Roman" w:eastAsia="方正仿宋_GBK" w:cs="方正仿宋_GBK"/>
                <w:b w:val="0"/>
                <w:bCs w:val="0"/>
                <w:snapToGrid w:val="0"/>
                <w:color w:val="auto"/>
                <w:sz w:val="24"/>
                <w:szCs w:val="24"/>
                <w:highlight w:val="none"/>
                <w:lang w:val="en-US" w:eastAsia="zh-CN"/>
              </w:rPr>
              <w:t>按照《民办教育促进法实施条例》《校外培训机构消防安全管理九项规定》《教育部办公厅等四部门关于在深化非学科类校外培训治理中加强艺考培训规范管理的通知》等相关规定</w:t>
            </w:r>
          </w:p>
        </w:tc>
      </w:tr>
      <w:tr w14:paraId="6632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shd w:val="clear" w:color="auto" w:fill="auto"/>
            <w:noWrap w:val="0"/>
            <w:vAlign w:val="top"/>
          </w:tcPr>
          <w:p w14:paraId="120B62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小标宋_GBK" w:cs="方正小标宋_GBK"/>
                <w:color w:val="auto"/>
                <w:kern w:val="2"/>
                <w:sz w:val="32"/>
                <w:szCs w:val="32"/>
                <w:vertAlign w:val="baseline"/>
                <w:lang w:val="en-US" w:eastAsia="zh-CN" w:bidi="ar-SA"/>
              </w:rPr>
            </w:pPr>
            <w:r>
              <w:rPr>
                <w:rFonts w:hint="default" w:ascii="Times New Roman" w:hAnsi="Times New Roman" w:eastAsia="方正仿宋_GBK" w:cs="方正仿宋_GBK"/>
                <w:b w:val="0"/>
                <w:bCs w:val="0"/>
                <w:snapToGrid w:val="0"/>
                <w:color w:val="auto"/>
                <w:sz w:val="24"/>
                <w:szCs w:val="24"/>
                <w:highlight w:val="none"/>
                <w:lang w:val="en-US" w:eastAsia="zh-CN"/>
              </w:rPr>
              <w:t>对经营高危险性体育项目的监督检查</w:t>
            </w:r>
          </w:p>
        </w:tc>
        <w:tc>
          <w:tcPr>
            <w:tcW w:w="4515" w:type="dxa"/>
            <w:shd w:val="clear" w:color="auto" w:fill="auto"/>
            <w:noWrap w:val="0"/>
            <w:vAlign w:val="top"/>
          </w:tcPr>
          <w:p w14:paraId="296875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方正仿宋_GBK"/>
                <w:b w:val="0"/>
                <w:bCs w:val="0"/>
                <w:snapToGrid w:val="0"/>
                <w:color w:val="auto"/>
                <w:sz w:val="24"/>
                <w:szCs w:val="24"/>
                <w:highlight w:val="none"/>
                <w:lang w:val="en-US" w:eastAsia="zh-CN"/>
              </w:rPr>
            </w:pPr>
            <w:r>
              <w:rPr>
                <w:rFonts w:hint="eastAsia" w:ascii="Times New Roman" w:hAnsi="Times New Roman" w:eastAsia="方正仿宋_GBK" w:cs="方正仿宋_GBK"/>
                <w:b w:val="0"/>
                <w:bCs w:val="0"/>
                <w:snapToGrid w:val="0"/>
                <w:color w:val="auto"/>
                <w:sz w:val="24"/>
                <w:szCs w:val="24"/>
                <w:highlight w:val="none"/>
                <w:lang w:val="en-US" w:eastAsia="zh-CN"/>
              </w:rPr>
              <w:t>1.</w:t>
            </w:r>
            <w:r>
              <w:rPr>
                <w:rFonts w:hint="default" w:ascii="Times New Roman" w:hAnsi="Times New Roman" w:eastAsia="方正仿宋_GBK" w:cs="方正仿宋_GBK"/>
                <w:b w:val="0"/>
                <w:bCs w:val="0"/>
                <w:snapToGrid w:val="0"/>
                <w:color w:val="auto"/>
                <w:sz w:val="24"/>
                <w:szCs w:val="24"/>
                <w:highlight w:val="none"/>
                <w:lang w:val="en-US" w:eastAsia="zh-CN"/>
              </w:rPr>
              <w:t>《全民健身条例》</w:t>
            </w:r>
          </w:p>
          <w:p w14:paraId="0A86E4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Calibri" w:hAnsi="Calibri" w:eastAsia="宋体" w:cs="Times New Roman"/>
                <w:kern w:val="2"/>
                <w:sz w:val="21"/>
                <w:szCs w:val="24"/>
                <w:lang w:val="en-US" w:eastAsia="zh-CN" w:bidi="ar-SA"/>
              </w:rPr>
            </w:pPr>
            <w:r>
              <w:rPr>
                <w:rFonts w:hint="eastAsia" w:ascii="Times New Roman" w:hAnsi="Times New Roman" w:eastAsia="方正仿宋_GBK" w:cs="方正仿宋_GBK"/>
                <w:b w:val="0"/>
                <w:bCs w:val="0"/>
                <w:snapToGrid w:val="0"/>
                <w:color w:val="auto"/>
                <w:sz w:val="24"/>
                <w:szCs w:val="24"/>
                <w:highlight w:val="none"/>
                <w:lang w:val="en-US" w:eastAsia="zh-CN"/>
              </w:rPr>
              <w:t>2.</w:t>
            </w:r>
            <w:r>
              <w:rPr>
                <w:rFonts w:hint="default" w:ascii="Times New Roman" w:hAnsi="Times New Roman" w:eastAsia="方正仿宋_GBK" w:cs="方正仿宋_GBK"/>
                <w:b w:val="0"/>
                <w:bCs w:val="0"/>
                <w:snapToGrid w:val="0"/>
                <w:color w:val="auto"/>
                <w:sz w:val="24"/>
                <w:szCs w:val="24"/>
                <w:highlight w:val="none"/>
                <w:lang w:val="en-US" w:eastAsia="zh-CN"/>
              </w:rPr>
              <w:t>《经营高危险性体育项目许可管理办法》（体育总局令第17号）</w:t>
            </w:r>
          </w:p>
        </w:tc>
        <w:tc>
          <w:tcPr>
            <w:tcW w:w="2235" w:type="dxa"/>
            <w:shd w:val="clear" w:color="auto" w:fill="auto"/>
            <w:noWrap w:val="0"/>
            <w:vAlign w:val="top"/>
          </w:tcPr>
          <w:p w14:paraId="545F9B5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小标宋_GBK" w:cs="方正小标宋_GBK"/>
                <w:color w:val="auto"/>
                <w:kern w:val="2"/>
                <w:sz w:val="32"/>
                <w:szCs w:val="32"/>
                <w:vertAlign w:val="baseline"/>
                <w:lang w:val="en-US" w:eastAsia="zh-CN" w:bidi="ar-SA"/>
              </w:rPr>
            </w:pPr>
            <w:r>
              <w:rPr>
                <w:rFonts w:hint="default" w:ascii="Times New Roman" w:hAnsi="Times New Roman" w:eastAsia="方正仿宋_GBK" w:cs="方正仿宋_GBK"/>
                <w:b w:val="0"/>
                <w:bCs w:val="0"/>
                <w:snapToGrid w:val="0"/>
                <w:color w:val="auto"/>
                <w:sz w:val="24"/>
                <w:szCs w:val="24"/>
                <w:highlight w:val="none"/>
                <w:lang w:val="en-US" w:eastAsia="zh-CN"/>
              </w:rPr>
              <w:t>经营高危险性体育项目</w:t>
            </w:r>
            <w:r>
              <w:rPr>
                <w:rFonts w:hint="eastAsia" w:ascii="Times New Roman" w:hAnsi="Times New Roman" w:eastAsia="方正仿宋_GBK" w:cs="方正仿宋_GBK"/>
                <w:b w:val="0"/>
                <w:bCs w:val="0"/>
                <w:snapToGrid w:val="0"/>
                <w:color w:val="auto"/>
                <w:sz w:val="24"/>
                <w:szCs w:val="24"/>
                <w:highlight w:val="none"/>
                <w:lang w:val="en-US" w:eastAsia="zh-CN"/>
              </w:rPr>
              <w:t>主体</w:t>
            </w:r>
          </w:p>
        </w:tc>
        <w:tc>
          <w:tcPr>
            <w:tcW w:w="5115" w:type="dxa"/>
            <w:shd w:val="clear" w:color="auto" w:fill="auto"/>
            <w:noWrap w:val="0"/>
            <w:vAlign w:val="top"/>
          </w:tcPr>
          <w:p w14:paraId="6E5714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小标宋_GBK" w:cs="方正小标宋_GBK"/>
                <w:color w:val="auto"/>
                <w:kern w:val="2"/>
                <w:sz w:val="32"/>
                <w:szCs w:val="32"/>
                <w:vertAlign w:val="baseline"/>
                <w:lang w:val="en-US" w:eastAsia="zh-CN" w:bidi="ar-SA"/>
              </w:rPr>
            </w:pPr>
            <w:r>
              <w:rPr>
                <w:rFonts w:hint="eastAsia" w:ascii="Times New Roman" w:hAnsi="Times New Roman" w:eastAsia="方正仿宋_GBK" w:cs="方正仿宋_GBK"/>
                <w:b w:val="0"/>
                <w:bCs w:val="0"/>
                <w:snapToGrid w:val="0"/>
                <w:color w:val="auto"/>
                <w:sz w:val="24"/>
                <w:szCs w:val="24"/>
                <w:highlight w:val="none"/>
                <w:lang w:val="en-US" w:eastAsia="zh-CN"/>
              </w:rPr>
              <w:t>按照《</w:t>
            </w:r>
            <w:r>
              <w:rPr>
                <w:rFonts w:hint="default" w:ascii="Times New Roman" w:hAnsi="Times New Roman" w:eastAsia="方正仿宋_GBK" w:cs="方正仿宋_GBK"/>
                <w:b w:val="0"/>
                <w:bCs w:val="0"/>
                <w:snapToGrid w:val="0"/>
                <w:color w:val="auto"/>
                <w:sz w:val="24"/>
                <w:szCs w:val="24"/>
                <w:highlight w:val="none"/>
                <w:lang w:val="en-US" w:eastAsia="zh-CN"/>
              </w:rPr>
              <w:t>经营高危险性体育项目</w:t>
            </w:r>
            <w:r>
              <w:rPr>
                <w:rFonts w:hint="eastAsia" w:ascii="Times New Roman" w:hAnsi="Times New Roman" w:eastAsia="方正仿宋_GBK" w:cs="方正仿宋_GBK"/>
                <w:b w:val="0"/>
                <w:bCs w:val="0"/>
                <w:snapToGrid w:val="0"/>
                <w:color w:val="auto"/>
                <w:sz w:val="24"/>
                <w:szCs w:val="24"/>
                <w:highlight w:val="none"/>
                <w:lang w:val="en-US" w:eastAsia="zh-CN"/>
              </w:rPr>
              <w:t>许可管理办法》相关要求</w:t>
            </w:r>
          </w:p>
        </w:tc>
      </w:tr>
    </w:tbl>
    <w:p w14:paraId="0645C0AB">
      <w:pPr>
        <w:pageBreakBefore w:val="0"/>
        <w:widowControl w:val="0"/>
        <w:kinsoku/>
        <w:wordWrap/>
        <w:topLinePunct w:val="0"/>
        <w:bidi w:val="0"/>
        <w:jc w:val="both"/>
        <w:rPr>
          <w:rFonts w:hint="default" w:ascii="Times New Roman" w:hAnsi="Times New Roman" w:eastAsia="方正小标宋_GBK" w:cs="方正小标宋_GBK"/>
          <w:color w:val="auto"/>
          <w:sz w:val="32"/>
          <w:szCs w:val="32"/>
          <w:lang w:val="en-US" w:eastAsia="zh-CN"/>
        </w:rPr>
      </w:pPr>
    </w:p>
    <w:p w14:paraId="7457149A">
      <w:pPr>
        <w:pageBreakBefore w:val="0"/>
        <w:widowControl w:val="0"/>
        <w:kinsoku/>
        <w:wordWrap/>
        <w:topLinePunct w:val="0"/>
        <w:bidi w:val="0"/>
        <w:jc w:val="both"/>
        <w:rPr>
          <w:rFonts w:hint="eastAsia" w:ascii="方正黑体_GBK" w:hAnsi="方正黑体_GBK" w:eastAsia="方正黑体_GBK" w:cs="方正黑体_GBK"/>
          <w:b w:val="0"/>
          <w:bCs w:val="0"/>
          <w:color w:val="auto"/>
          <w:sz w:val="33"/>
          <w:szCs w:val="33"/>
          <w:lang w:val="en-US" w:eastAsia="zh-CN"/>
        </w:rPr>
      </w:pPr>
    </w:p>
    <w:p w14:paraId="4547E141">
      <w:pPr>
        <w:pageBreakBefore w:val="0"/>
        <w:widowControl w:val="0"/>
        <w:kinsoku/>
        <w:wordWrap/>
        <w:topLinePunct w:val="0"/>
        <w:bidi w:val="0"/>
        <w:jc w:val="both"/>
        <w:rPr>
          <w:rFonts w:hint="eastAsia" w:ascii="方正黑体_GBK" w:hAnsi="方正黑体_GBK" w:eastAsia="方正黑体_GBK" w:cs="方正黑体_GBK"/>
          <w:b w:val="0"/>
          <w:bCs w:val="0"/>
          <w:color w:val="auto"/>
          <w:sz w:val="33"/>
          <w:szCs w:val="33"/>
          <w:lang w:val="en-US" w:eastAsia="zh-CN"/>
        </w:rPr>
      </w:pPr>
    </w:p>
    <w:p w14:paraId="30549FA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23E0A"/>
    <w:rsid w:val="05AC00D0"/>
    <w:rsid w:val="11323E0A"/>
    <w:rsid w:val="31D6612A"/>
    <w:rsid w:val="5348126E"/>
    <w:rsid w:val="60E622FE"/>
    <w:rsid w:val="6CE90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579</Characters>
  <Lines>0</Lines>
  <Paragraphs>0</Paragraphs>
  <TotalTime>1</TotalTime>
  <ScaleCrop>false</ScaleCrop>
  <LinksUpToDate>false</LinksUpToDate>
  <CharactersWithSpaces>579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2025-05-07T01:43:00Z</dcterms:created>
  <dc:creator>Administrator</dc:creator>
  <cp:lastModifiedBy>岳池县教育科技体育局办公室</cp:lastModifiedBy>
  <dcterms:modified xsi:type="dcterms:W3CDTF">2025-05-08T03:21:03Z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1C9E690132DA4D08A0C7702AA3E52224_13</vt:lpwstr>
  </property>
  <property fmtid="{D5CDD505-2E9C-101B-9397-08002B2CF9AE}" pid="4" name="KSOTemplateDocerSaveRecord">
    <vt:lpwstr>eyJoZGlkIjoiNzUzMmVmNTFlOWM0YmFhMTVlMmVlNTA5Y2UzNDA1YzMifQ==</vt:lpwstr>
  </property>
</Properties>
</file>