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28C60C">
      <w:pPr>
        <w:jc w:val="center"/>
        <w:rPr>
          <w:rFonts w:hint="eastAsia" w:ascii="方正小标宋简体" w:eastAsia="方正小标宋简体" w:hAnsiTheme="minorEastAsia"/>
          <w:b w:val="0"/>
          <w:bCs/>
          <w:sz w:val="44"/>
        </w:rPr>
      </w:pPr>
      <w:r>
        <w:rPr>
          <w:rFonts w:hint="eastAsia" w:ascii="方正小标宋简体" w:eastAsia="方正小标宋简体" w:hAnsiTheme="minorEastAsia"/>
          <w:b w:val="0"/>
          <w:bCs/>
          <w:sz w:val="44"/>
        </w:rPr>
        <w:t>岳池县烟草制品零售点合理布局规定</w:t>
      </w:r>
    </w:p>
    <w:p w14:paraId="748906C4">
      <w:pPr>
        <w:jc w:val="center"/>
        <w:rPr>
          <w:rFonts w:ascii="仿宋_GB2312" w:eastAsia="仿宋_GB2312"/>
          <w:b w:val="0"/>
          <w:bCs/>
          <w:sz w:val="32"/>
        </w:rPr>
      </w:pPr>
      <w:r>
        <w:rPr>
          <w:rFonts w:hint="eastAsia" w:ascii="方正小标宋简体" w:hAnsi="Times New Roman" w:eastAsia="方正小标宋简体"/>
          <w:b w:val="0"/>
          <w:bCs/>
          <w:sz w:val="44"/>
          <w:szCs w:val="44"/>
        </w:rPr>
        <w:t>（征求意见稿）</w:t>
      </w:r>
    </w:p>
    <w:p w14:paraId="4A73C82D">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rPr>
          <w:rFonts w:ascii="黑体" w:hAnsi="黑体" w:eastAsia="黑体" w:cs="Times New Roman"/>
          <w:bCs/>
          <w:color w:val="000000"/>
          <w:kern w:val="0"/>
          <w:sz w:val="32"/>
          <w:szCs w:val="32"/>
        </w:rPr>
      </w:pPr>
      <w:r>
        <w:rPr>
          <w:rFonts w:hint="eastAsia" w:ascii="黑体" w:hAnsi="黑体" w:eastAsia="黑体" w:cs="Times New Roman"/>
          <w:bCs/>
          <w:color w:val="000000"/>
          <w:kern w:val="0"/>
          <w:sz w:val="32"/>
          <w:szCs w:val="32"/>
        </w:rPr>
        <w:t>第一章 总则</w:t>
      </w:r>
    </w:p>
    <w:p w14:paraId="678C70FA">
      <w:pPr>
        <w:spacing w:line="600" w:lineRule="exact"/>
        <w:ind w:firstLine="640" w:firstLineChars="200"/>
        <w:rPr>
          <w:rFonts w:hint="eastAsia" w:ascii="仿宋" w:hAnsi="仿宋" w:eastAsia="仿宋" w:cs="Times New Roman"/>
          <w:color w:val="auto"/>
          <w:sz w:val="32"/>
          <w:szCs w:val="32"/>
        </w:rPr>
      </w:pPr>
      <w:r>
        <w:rPr>
          <w:rFonts w:hint="eastAsia" w:ascii="仿宋" w:hAnsi="仿宋" w:eastAsia="仿宋" w:cs="Times New Roman"/>
          <w:color w:val="auto"/>
          <w:sz w:val="32"/>
          <w:szCs w:val="32"/>
        </w:rPr>
        <w:t>第一条  为加强烟草专卖零售许可证管理，切实履行控烟履约责任义务，保护未成年人身心健康，适度满足烟草消费需求，避免市场无序竞争，维护国家利益和消费者利益，根据《中华人民共和国行政许可法》《中华人民共和国烟草专卖法》《中华人民共和国未成年人保护法》《中华人民共和国烟草专卖法实施条例》《烟草专卖许可证管理办法》《烟草专卖许可证管理办法实施细则》等法律法规之规定，结合辖区实际，制定本规定。</w:t>
      </w:r>
    </w:p>
    <w:p w14:paraId="625A4D81">
      <w:pPr>
        <w:spacing w:line="600" w:lineRule="exact"/>
        <w:ind w:firstLine="640" w:firstLineChars="200"/>
        <w:rPr>
          <w:rFonts w:hint="eastAsia" w:ascii="仿宋" w:hAnsi="仿宋" w:eastAsia="仿宋" w:cs="Times New Roman"/>
          <w:color w:val="auto"/>
          <w:sz w:val="32"/>
          <w:szCs w:val="32"/>
        </w:rPr>
      </w:pPr>
      <w:r>
        <w:rPr>
          <w:rFonts w:hint="eastAsia" w:ascii="仿宋" w:hAnsi="仿宋" w:eastAsia="仿宋" w:cs="Times New Roman"/>
          <w:color w:val="auto"/>
          <w:sz w:val="32"/>
          <w:szCs w:val="32"/>
        </w:rPr>
        <w:t>第二条  本规定适用于岳池县行政区域范围的烟草制品零售点的布局管理。</w:t>
      </w:r>
    </w:p>
    <w:p w14:paraId="29A40ED3">
      <w:pPr>
        <w:spacing w:line="600" w:lineRule="exact"/>
        <w:ind w:firstLine="640" w:firstLineChars="200"/>
        <w:rPr>
          <w:rFonts w:hint="eastAsia" w:ascii="仿宋" w:hAnsi="仿宋" w:eastAsia="仿宋" w:cs="Times New Roman"/>
          <w:color w:val="auto"/>
          <w:sz w:val="32"/>
          <w:szCs w:val="32"/>
        </w:rPr>
      </w:pPr>
      <w:r>
        <w:rPr>
          <w:rFonts w:hint="eastAsia" w:ascii="仿宋" w:hAnsi="仿宋" w:eastAsia="仿宋" w:cs="Times New Roman"/>
          <w:color w:val="auto"/>
          <w:sz w:val="32"/>
          <w:szCs w:val="32"/>
        </w:rPr>
        <w:t>第三条  岳池县烟草专卖局遵循依法行政、科学规划、服务社会、均衡发展原则，根据辖区内的人口数量、交通状况、经济发展水平、消费能力等因素，制定本行政区域内的烟草制品零售点合理布局规定。</w:t>
      </w:r>
    </w:p>
    <w:p w14:paraId="0324C23A">
      <w:pPr>
        <w:spacing w:line="600" w:lineRule="exact"/>
        <w:ind w:firstLine="640" w:firstLineChars="200"/>
        <w:rPr>
          <w:rFonts w:hint="eastAsia" w:ascii="仿宋" w:hAnsi="仿宋" w:eastAsia="仿宋" w:cs="Times New Roman"/>
          <w:color w:val="auto"/>
          <w:sz w:val="32"/>
          <w:szCs w:val="32"/>
        </w:rPr>
      </w:pPr>
      <w:r>
        <w:rPr>
          <w:rFonts w:hint="eastAsia" w:ascii="仿宋" w:hAnsi="仿宋" w:eastAsia="仿宋" w:cs="Times New Roman"/>
          <w:color w:val="auto"/>
          <w:sz w:val="32"/>
          <w:szCs w:val="32"/>
        </w:rPr>
        <w:t>第四条  本规定所称的烟草制品零售点（以下简称零售点）是指公民、法人及其他组织依法申请取得烟草专卖零售许可证从事烟草制品零售业务的经营场所。</w:t>
      </w:r>
    </w:p>
    <w:p w14:paraId="6FBCB7E3">
      <w:pPr>
        <w:spacing w:line="600" w:lineRule="exact"/>
        <w:ind w:firstLine="640" w:firstLineChars="200"/>
        <w:rPr>
          <w:rFonts w:hint="eastAsia" w:ascii="仿宋" w:hAnsi="仿宋" w:eastAsia="仿宋" w:cs="Times New Roman"/>
          <w:color w:val="auto"/>
          <w:sz w:val="32"/>
          <w:szCs w:val="32"/>
        </w:rPr>
      </w:pPr>
      <w:r>
        <w:rPr>
          <w:rFonts w:hint="eastAsia" w:ascii="仿宋" w:hAnsi="仿宋" w:eastAsia="仿宋" w:cs="Times New Roman"/>
          <w:color w:val="auto"/>
          <w:sz w:val="32"/>
          <w:szCs w:val="32"/>
        </w:rPr>
        <w:t>第五条  岳池县烟草专卖局采取“容量管理+间距调整”模式，对辖区各市场单元内的零售点进行布局调整。</w:t>
      </w:r>
    </w:p>
    <w:p w14:paraId="32AEB836">
      <w:pPr>
        <w:spacing w:line="600" w:lineRule="exact"/>
        <w:ind w:firstLine="640" w:firstLineChars="200"/>
        <w:rPr>
          <w:rFonts w:hint="eastAsia" w:ascii="仿宋" w:hAnsi="仿宋" w:eastAsia="仿宋" w:cs="Times New Roman"/>
          <w:color w:val="auto"/>
          <w:sz w:val="32"/>
          <w:szCs w:val="32"/>
        </w:rPr>
      </w:pPr>
      <w:r>
        <w:rPr>
          <w:rFonts w:hint="eastAsia" w:ascii="仿宋" w:hAnsi="仿宋" w:eastAsia="仿宋" w:cs="Times New Roman"/>
          <w:color w:val="auto"/>
          <w:sz w:val="32"/>
          <w:szCs w:val="32"/>
        </w:rPr>
        <w:t>第六条  岳池县烟草专卖局辖区零售点布局以街道、镇、乡为一般市场单元，新建住宅小区、车站、高速</w:t>
      </w:r>
      <w:r>
        <w:rPr>
          <w:rFonts w:hint="eastAsia" w:ascii="仿宋" w:hAnsi="仿宋" w:eastAsia="仿宋" w:cs="Times New Roman"/>
          <w:color w:val="auto"/>
          <w:sz w:val="32"/>
          <w:szCs w:val="32"/>
          <w:lang w:val="en-US" w:eastAsia="zh-CN"/>
        </w:rPr>
        <w:t>公</w:t>
      </w:r>
      <w:r>
        <w:rPr>
          <w:rFonts w:hint="eastAsia" w:ascii="仿宋" w:hAnsi="仿宋" w:eastAsia="仿宋" w:cs="Times New Roman"/>
          <w:color w:val="auto"/>
          <w:sz w:val="32"/>
          <w:szCs w:val="32"/>
        </w:rPr>
        <w:t>路服务区、大型商场、大型商业综合体(含周边配套商圈）等为特殊市场单元。</w:t>
      </w:r>
    </w:p>
    <w:p w14:paraId="79E6689C">
      <w:pPr>
        <w:spacing w:line="600" w:lineRule="exact"/>
        <w:ind w:firstLine="640" w:firstLineChars="200"/>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rPr>
        <w:t>岳池县烟草专卖局根据辖区人口数量、经济发展趋势、城乡建设进程、社会领</w:t>
      </w:r>
      <w:bookmarkStart w:id="2" w:name="_GoBack"/>
      <w:bookmarkEnd w:id="2"/>
      <w:r>
        <w:rPr>
          <w:rFonts w:hint="eastAsia" w:ascii="仿宋" w:hAnsi="仿宋" w:eastAsia="仿宋" w:cs="Times New Roman"/>
          <w:color w:val="auto"/>
          <w:sz w:val="32"/>
          <w:szCs w:val="32"/>
        </w:rPr>
        <w:t>证需求、人口密度、持证零售户密度、吸烟率、人均吸烟量、户均销量等指标</w:t>
      </w:r>
      <w:r>
        <w:rPr>
          <w:rFonts w:hint="eastAsia" w:ascii="仿宋" w:hAnsi="仿宋" w:eastAsia="仿宋" w:cs="Times New Roman"/>
          <w:color w:val="auto"/>
          <w:sz w:val="32"/>
          <w:szCs w:val="32"/>
          <w:lang w:eastAsia="zh-CN"/>
        </w:rPr>
        <w:t>，原则上每两年测算一般市场单元内零售点的合理容量。</w:t>
      </w:r>
    </w:p>
    <w:p w14:paraId="05908450">
      <w:pPr>
        <w:spacing w:line="600" w:lineRule="exact"/>
        <w:ind w:firstLine="640" w:firstLineChars="200"/>
        <w:rPr>
          <w:rFonts w:hint="eastAsia" w:ascii="仿宋" w:hAnsi="仿宋" w:eastAsia="仿宋" w:cs="Times New Roman"/>
          <w:color w:val="auto"/>
          <w:sz w:val="32"/>
          <w:szCs w:val="32"/>
        </w:rPr>
      </w:pPr>
      <w:r>
        <w:rPr>
          <w:rFonts w:hint="eastAsia" w:ascii="仿宋" w:hAnsi="仿宋" w:eastAsia="仿宋" w:cs="Times New Roman"/>
          <w:color w:val="auto"/>
          <w:sz w:val="32"/>
          <w:szCs w:val="32"/>
        </w:rPr>
        <w:t>第七条  岳池县烟草专卖局每季度依据合理容量上限，确定辖区不饱和市场单元当期可新办许可证数量，在广安市烟草专卖局外网（http://sc.tobacco.gov.cn/guangan_pc/）</w:t>
      </w:r>
      <w:r>
        <w:rPr>
          <w:rFonts w:hint="eastAsia" w:ascii="仿宋" w:hAnsi="仿宋" w:eastAsia="仿宋" w:cs="Times New Roman"/>
          <w:color w:val="auto"/>
          <w:sz w:val="32"/>
          <w:szCs w:val="32"/>
          <w:lang w:eastAsia="zh-CN"/>
        </w:rPr>
        <w:t>、</w:t>
      </w:r>
      <w:r>
        <w:rPr>
          <w:rFonts w:hint="eastAsia" w:ascii="仿宋" w:hAnsi="仿宋" w:eastAsia="仿宋" w:cs="Times New Roman"/>
          <w:color w:val="auto"/>
          <w:sz w:val="32"/>
          <w:szCs w:val="32"/>
        </w:rPr>
        <w:t>政务大厅公示栏和广安新闻网进行公布，公布期为5个工作日。期满前提交的申请，按照该单元原有容量办理。</w:t>
      </w:r>
    </w:p>
    <w:p w14:paraId="69C09E4D">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rPr>
          <w:rFonts w:hint="eastAsia" w:ascii="黑体" w:hAnsi="黑体" w:eastAsia="黑体" w:cs="Times New Roman"/>
          <w:bCs/>
          <w:color w:val="auto"/>
          <w:kern w:val="0"/>
          <w:sz w:val="32"/>
          <w:szCs w:val="32"/>
        </w:rPr>
      </w:pPr>
      <w:r>
        <w:rPr>
          <w:rFonts w:hint="eastAsia" w:ascii="黑体" w:hAnsi="黑体" w:eastAsia="黑体" w:cs="Times New Roman"/>
          <w:bCs/>
          <w:color w:val="auto"/>
          <w:kern w:val="0"/>
          <w:sz w:val="32"/>
          <w:szCs w:val="32"/>
        </w:rPr>
        <w:t xml:space="preserve">第二章 </w:t>
      </w:r>
      <w:r>
        <w:rPr>
          <w:rFonts w:hint="eastAsia" w:ascii="黑体" w:hAnsi="黑体" w:eastAsia="黑体" w:cs="Times New Roman"/>
          <w:bCs/>
          <w:color w:val="auto"/>
          <w:kern w:val="0"/>
          <w:sz w:val="32"/>
          <w:szCs w:val="32"/>
          <w:lang w:eastAsia="zh-CN"/>
        </w:rPr>
        <w:t>普通零售点</w:t>
      </w:r>
      <w:r>
        <w:rPr>
          <w:rFonts w:hint="eastAsia" w:ascii="黑体" w:hAnsi="黑体" w:eastAsia="黑体" w:cs="Times New Roman"/>
          <w:bCs/>
          <w:color w:val="auto"/>
          <w:kern w:val="0"/>
          <w:sz w:val="32"/>
          <w:szCs w:val="32"/>
        </w:rPr>
        <w:t>布局标准</w:t>
      </w:r>
    </w:p>
    <w:p w14:paraId="6018179E">
      <w:pPr>
        <w:spacing w:line="600" w:lineRule="exact"/>
        <w:ind w:firstLine="640" w:firstLineChars="200"/>
        <w:rPr>
          <w:rFonts w:ascii="仿宋" w:hAnsi="仿宋" w:eastAsia="仿宋" w:cs="Times New Roman"/>
          <w:color w:val="auto"/>
          <w:sz w:val="32"/>
          <w:szCs w:val="32"/>
        </w:rPr>
      </w:pPr>
      <w:r>
        <w:rPr>
          <w:rFonts w:hint="eastAsia" w:ascii="仿宋" w:hAnsi="仿宋" w:eastAsia="仿宋" w:cs="Times New Roman"/>
          <w:color w:val="auto"/>
          <w:sz w:val="32"/>
          <w:szCs w:val="32"/>
        </w:rPr>
        <w:t>第八条  一般市场单元</w:t>
      </w:r>
    </w:p>
    <w:p w14:paraId="774C0C5A">
      <w:pPr>
        <w:spacing w:line="600" w:lineRule="exact"/>
        <w:ind w:firstLine="640" w:firstLineChars="200"/>
        <w:rPr>
          <w:rFonts w:ascii="仿宋" w:hAnsi="仿宋" w:eastAsia="仿宋" w:cs="Times New Roman"/>
          <w:color w:val="auto"/>
          <w:sz w:val="32"/>
          <w:szCs w:val="32"/>
        </w:rPr>
      </w:pPr>
      <w:r>
        <w:rPr>
          <w:rFonts w:hint="eastAsia" w:ascii="仿宋" w:hAnsi="仿宋" w:eastAsia="仿宋" w:cs="Times New Roman"/>
          <w:color w:val="auto"/>
          <w:sz w:val="32"/>
          <w:szCs w:val="32"/>
        </w:rPr>
        <w:t>以规划单元内不饱和市场单元当期公示可新办许可证数量为上限，达到上限的不予设置零售点。</w:t>
      </w:r>
    </w:p>
    <w:p w14:paraId="7DA84C9E">
      <w:pPr>
        <w:spacing w:line="600" w:lineRule="exact"/>
        <w:ind w:firstLine="640" w:firstLineChars="200"/>
        <w:rPr>
          <w:rFonts w:ascii="仿宋" w:hAnsi="仿宋" w:eastAsia="仿宋" w:cs="Times New Roman"/>
          <w:color w:val="auto"/>
          <w:sz w:val="32"/>
          <w:szCs w:val="32"/>
        </w:rPr>
      </w:pPr>
      <w:r>
        <w:rPr>
          <w:rFonts w:hint="eastAsia" w:ascii="仿宋" w:hAnsi="仿宋" w:eastAsia="仿宋" w:cs="Times New Roman"/>
          <w:color w:val="auto"/>
          <w:sz w:val="32"/>
          <w:szCs w:val="32"/>
        </w:rPr>
        <w:t>（一）相邻零售点之间的间距不少于80米。</w:t>
      </w:r>
    </w:p>
    <w:p w14:paraId="5B0F3C1F">
      <w:pPr>
        <w:spacing w:line="600" w:lineRule="exact"/>
        <w:ind w:firstLine="640" w:firstLineChars="200"/>
        <w:rPr>
          <w:rFonts w:ascii="仿宋" w:hAnsi="仿宋" w:eastAsia="仿宋" w:cs="Times New Roman"/>
          <w:color w:val="auto"/>
          <w:sz w:val="32"/>
          <w:szCs w:val="32"/>
        </w:rPr>
      </w:pPr>
      <w:r>
        <w:rPr>
          <w:rFonts w:hint="eastAsia" w:ascii="仿宋" w:hAnsi="仿宋" w:eastAsia="仿宋" w:cs="Times New Roman"/>
          <w:color w:val="auto"/>
          <w:sz w:val="32"/>
          <w:szCs w:val="32"/>
        </w:rPr>
        <w:t>（二）对不以经营烟酒糖茶及预包装食品为主业，主营业务包括但不限于五金建材、建筑装潢、美容美发、化妆品、按摩推拿、药妆医械、中草药售卖、宠物用品、文化体育用品、音像制品、家电家具、通信器材、移动业务服务、互联网上网服务、金融证券、仪器仪表、金银珠宝、修理修配、寄递配送、物流企业、洗涤护理、服装制售、鞋帽箱包、中介劳服、寄卖典当、古董店、汽车相关（维修、销售、美容等）、传真打印、照相馆、成人用品店等专业性较强的业态类型以及未上架货品的门市，与其他零售点间距应达到150米以上。</w:t>
      </w:r>
    </w:p>
    <w:p w14:paraId="595CDAE1">
      <w:pPr>
        <w:spacing w:line="600" w:lineRule="exact"/>
        <w:ind w:firstLine="640" w:firstLineChars="200"/>
        <w:rPr>
          <w:rFonts w:ascii="仿宋" w:hAnsi="仿宋" w:eastAsia="仿宋" w:cs="Times New Roman"/>
          <w:color w:val="auto"/>
          <w:sz w:val="32"/>
          <w:szCs w:val="32"/>
        </w:rPr>
      </w:pPr>
      <w:r>
        <w:rPr>
          <w:rFonts w:hint="eastAsia" w:ascii="仿宋" w:hAnsi="仿宋" w:eastAsia="仿宋" w:cs="Times New Roman"/>
          <w:color w:val="auto"/>
          <w:sz w:val="32"/>
          <w:szCs w:val="32"/>
        </w:rPr>
        <w:t>第九条  特殊市场单元</w:t>
      </w:r>
    </w:p>
    <w:p w14:paraId="616553E8">
      <w:pPr>
        <w:spacing w:line="600" w:lineRule="exact"/>
        <w:ind w:firstLine="640" w:firstLineChars="200"/>
        <w:rPr>
          <w:rFonts w:ascii="仿宋" w:hAnsi="仿宋" w:eastAsia="仿宋" w:cs="Times New Roman"/>
          <w:color w:val="auto"/>
          <w:sz w:val="32"/>
          <w:szCs w:val="32"/>
        </w:rPr>
      </w:pPr>
      <w:r>
        <w:rPr>
          <w:rFonts w:hint="eastAsia" w:ascii="仿宋" w:hAnsi="仿宋" w:eastAsia="仿宋" w:cs="Times New Roman"/>
          <w:color w:val="auto"/>
          <w:sz w:val="32"/>
          <w:szCs w:val="32"/>
        </w:rPr>
        <w:t>（一）下列情形不受所在一般市场单元总量限制，且不作为当期周边新设置零售点总量参照。</w:t>
      </w:r>
    </w:p>
    <w:p w14:paraId="061434DF">
      <w:pPr>
        <w:spacing w:line="600" w:lineRule="exact"/>
        <w:ind w:firstLine="640" w:firstLineChars="200"/>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lang w:val="en-US" w:eastAsia="zh-CN"/>
        </w:rPr>
        <w:t>1.</w:t>
      </w:r>
      <w:r>
        <w:rPr>
          <w:rFonts w:hint="eastAsia" w:ascii="仿宋" w:hAnsi="仿宋" w:eastAsia="仿宋" w:cs="Times New Roman"/>
          <w:color w:val="auto"/>
          <w:sz w:val="32"/>
          <w:szCs w:val="32"/>
        </w:rPr>
        <w:t>新建住宅小区可在规定用途为商业的固定经营场所内设置1个零售点，小区规模每增加500套住房以上的，可增设1个零售点，且相邻零售点的间距不少于50米</w:t>
      </w:r>
      <w:r>
        <w:rPr>
          <w:rFonts w:hint="eastAsia" w:ascii="仿宋" w:hAnsi="仿宋" w:eastAsia="仿宋" w:cs="Times New Roman"/>
          <w:color w:val="auto"/>
          <w:sz w:val="32"/>
          <w:szCs w:val="32"/>
          <w:lang w:eastAsia="zh-CN"/>
        </w:rPr>
        <w:t>；</w:t>
      </w:r>
    </w:p>
    <w:p w14:paraId="1E117934">
      <w:pPr>
        <w:spacing w:line="600" w:lineRule="exact"/>
        <w:ind w:firstLine="640" w:firstLineChars="200"/>
        <w:rPr>
          <w:rFonts w:hint="eastAsia" w:ascii="仿宋" w:hAnsi="仿宋" w:eastAsia="仿宋" w:cs="Times New Roman"/>
          <w:color w:val="auto"/>
          <w:sz w:val="32"/>
          <w:szCs w:val="32"/>
        </w:rPr>
      </w:pPr>
      <w:r>
        <w:rPr>
          <w:rFonts w:hint="eastAsia" w:ascii="仿宋" w:hAnsi="仿宋" w:eastAsia="仿宋" w:cs="Times New Roman"/>
          <w:color w:val="auto"/>
          <w:sz w:val="32"/>
          <w:szCs w:val="32"/>
          <w:lang w:val="en-US" w:eastAsia="zh-CN"/>
        </w:rPr>
        <w:t>2.</w:t>
      </w:r>
      <w:r>
        <w:rPr>
          <w:rFonts w:hint="eastAsia" w:ascii="仿宋" w:hAnsi="仿宋" w:eastAsia="仿宋" w:cs="Times New Roman"/>
          <w:color w:val="auto"/>
          <w:sz w:val="32"/>
          <w:szCs w:val="32"/>
        </w:rPr>
        <w:t>规划建筑面积在5万㎡以上大型商业综合体(含周边配套商圈）</w:t>
      </w:r>
      <w:r>
        <w:rPr>
          <w:rFonts w:hint="eastAsia" w:ascii="仿宋" w:hAnsi="仿宋" w:eastAsia="仿宋" w:cs="Times New Roman"/>
          <w:color w:val="auto"/>
          <w:sz w:val="32"/>
          <w:szCs w:val="32"/>
          <w:lang w:eastAsia="zh-CN"/>
        </w:rPr>
        <w:t>，设置</w:t>
      </w:r>
      <w:r>
        <w:rPr>
          <w:rFonts w:hint="eastAsia" w:ascii="仿宋" w:hAnsi="仿宋" w:eastAsia="仿宋" w:cs="Times New Roman"/>
          <w:color w:val="auto"/>
          <w:sz w:val="32"/>
          <w:szCs w:val="32"/>
        </w:rPr>
        <w:t>1个零售点。</w:t>
      </w:r>
    </w:p>
    <w:p w14:paraId="3DC1A71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Times New Roman"/>
          <w:color w:val="auto"/>
          <w:sz w:val="32"/>
          <w:szCs w:val="32"/>
        </w:rPr>
      </w:pPr>
      <w:r>
        <w:rPr>
          <w:rFonts w:hint="eastAsia" w:ascii="仿宋" w:hAnsi="仿宋" w:eastAsia="仿宋" w:cs="Times New Roman"/>
          <w:color w:val="auto"/>
          <w:sz w:val="32"/>
          <w:szCs w:val="32"/>
        </w:rPr>
        <w:t>按照岳池县住房和城乡建设局提供的已取得《四川省房屋建筑和市政基础设施工程竣工验收备案书》且已交付使用的新建住宅小区</w:t>
      </w:r>
      <w:r>
        <w:rPr>
          <w:rFonts w:hint="eastAsia" w:ascii="仿宋" w:hAnsi="仿宋" w:eastAsia="仿宋" w:cs="Times New Roman"/>
          <w:color w:val="auto"/>
          <w:sz w:val="32"/>
          <w:szCs w:val="32"/>
          <w:lang w:eastAsia="zh-CN"/>
        </w:rPr>
        <w:t>、新建商业综合体</w:t>
      </w:r>
      <w:r>
        <w:rPr>
          <w:rFonts w:hint="eastAsia" w:ascii="仿宋" w:hAnsi="仿宋" w:eastAsia="仿宋" w:cs="Times New Roman"/>
          <w:color w:val="auto"/>
          <w:sz w:val="32"/>
          <w:szCs w:val="32"/>
        </w:rPr>
        <w:t>名录，岳池县烟草专卖局每季度公示新建住宅小区</w:t>
      </w:r>
      <w:r>
        <w:rPr>
          <w:rFonts w:hint="eastAsia" w:ascii="仿宋" w:hAnsi="仿宋" w:eastAsia="仿宋" w:cs="Times New Roman"/>
          <w:color w:val="auto"/>
          <w:sz w:val="32"/>
          <w:szCs w:val="32"/>
          <w:lang w:eastAsia="zh-CN"/>
        </w:rPr>
        <w:t>、新建商业综合体</w:t>
      </w:r>
      <w:r>
        <w:rPr>
          <w:rFonts w:hint="eastAsia" w:ascii="仿宋" w:hAnsi="仿宋" w:eastAsia="仿宋" w:cs="Times New Roman"/>
          <w:color w:val="auto"/>
          <w:sz w:val="32"/>
          <w:szCs w:val="32"/>
        </w:rPr>
        <w:t>及</w:t>
      </w:r>
      <w:r>
        <w:rPr>
          <w:rFonts w:hint="eastAsia" w:ascii="仿宋" w:hAnsi="仿宋" w:eastAsia="仿宋" w:cs="Times New Roman"/>
          <w:color w:val="auto"/>
          <w:sz w:val="32"/>
          <w:szCs w:val="32"/>
          <w:lang w:eastAsia="zh-CN"/>
        </w:rPr>
        <w:t>设置</w:t>
      </w:r>
      <w:r>
        <w:rPr>
          <w:rFonts w:hint="eastAsia" w:ascii="仿宋" w:hAnsi="仿宋" w:eastAsia="仿宋" w:cs="Times New Roman"/>
          <w:color w:val="auto"/>
          <w:sz w:val="32"/>
          <w:szCs w:val="32"/>
        </w:rPr>
        <w:t>零售点的数量。未在当期名录范围内的按照一般市场单元设置零售点，并作为下期特殊市场单元参照。</w:t>
      </w:r>
    </w:p>
    <w:p w14:paraId="1BBDE240">
      <w:pPr>
        <w:spacing w:line="600" w:lineRule="exact"/>
        <w:ind w:firstLine="640" w:firstLineChars="200"/>
        <w:rPr>
          <w:rFonts w:hint="eastAsia" w:ascii="仿宋" w:hAnsi="仿宋" w:eastAsia="仿宋" w:cs="Times New Roman"/>
          <w:color w:val="auto"/>
          <w:sz w:val="32"/>
          <w:szCs w:val="32"/>
        </w:rPr>
      </w:pPr>
      <w:r>
        <w:rPr>
          <w:rFonts w:hint="eastAsia" w:ascii="仿宋" w:hAnsi="仿宋" w:eastAsia="仿宋" w:cs="Times New Roman"/>
          <w:color w:val="auto"/>
          <w:sz w:val="32"/>
          <w:szCs w:val="32"/>
        </w:rPr>
        <w:t>（二）下列情形不受所在一般市场单元总量及距离限制，但应作为周边新设置零售点的参照：</w:t>
      </w:r>
    </w:p>
    <w:p w14:paraId="3842148A">
      <w:pPr>
        <w:spacing w:line="600" w:lineRule="exact"/>
        <w:ind w:firstLine="640" w:firstLineChars="200"/>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rPr>
        <w:t>1.高速公路服务区内</w:t>
      </w:r>
      <w:r>
        <w:rPr>
          <w:rFonts w:hint="eastAsia" w:ascii="仿宋" w:hAnsi="仿宋" w:eastAsia="仿宋" w:cs="Times New Roman"/>
          <w:color w:val="auto"/>
          <w:sz w:val="32"/>
          <w:szCs w:val="32"/>
          <w:lang w:eastAsia="zh-CN"/>
        </w:rPr>
        <w:t>，设置</w:t>
      </w:r>
      <w:r>
        <w:rPr>
          <w:rFonts w:hint="eastAsia" w:ascii="仿宋" w:hAnsi="仿宋" w:eastAsia="仿宋" w:cs="Times New Roman"/>
          <w:color w:val="auto"/>
          <w:sz w:val="32"/>
          <w:szCs w:val="32"/>
        </w:rPr>
        <w:t>1个零售点</w:t>
      </w:r>
      <w:r>
        <w:rPr>
          <w:rFonts w:hint="eastAsia" w:ascii="仿宋" w:hAnsi="仿宋" w:eastAsia="仿宋" w:cs="Times New Roman"/>
          <w:color w:val="auto"/>
          <w:sz w:val="32"/>
          <w:szCs w:val="32"/>
          <w:lang w:eastAsia="zh-CN"/>
        </w:rPr>
        <w:t>；</w:t>
      </w:r>
    </w:p>
    <w:p w14:paraId="02648079">
      <w:pPr>
        <w:spacing w:line="600" w:lineRule="exact"/>
        <w:ind w:firstLine="640" w:firstLineChars="200"/>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rPr>
        <w:t>2.车站（二级以上汽车站）</w:t>
      </w:r>
      <w:r>
        <w:rPr>
          <w:rFonts w:hint="eastAsia" w:ascii="仿宋" w:hAnsi="仿宋" w:eastAsia="仿宋" w:cs="Times New Roman"/>
          <w:color w:val="auto"/>
          <w:sz w:val="32"/>
          <w:szCs w:val="32"/>
          <w:lang w:eastAsia="zh-CN"/>
        </w:rPr>
        <w:t>、</w:t>
      </w:r>
      <w:r>
        <w:rPr>
          <w:rFonts w:hint="eastAsia" w:ascii="仿宋" w:hAnsi="仿宋" w:eastAsia="仿宋" w:cs="Times New Roman"/>
          <w:color w:val="auto"/>
          <w:sz w:val="32"/>
          <w:szCs w:val="32"/>
        </w:rPr>
        <w:t>火车站候车大厅内</w:t>
      </w:r>
      <w:r>
        <w:rPr>
          <w:rFonts w:hint="eastAsia" w:ascii="仿宋" w:hAnsi="仿宋" w:eastAsia="仿宋" w:cs="Times New Roman"/>
          <w:color w:val="auto"/>
          <w:sz w:val="32"/>
          <w:szCs w:val="32"/>
          <w:lang w:eastAsia="zh-CN"/>
        </w:rPr>
        <w:t>，设置</w:t>
      </w:r>
      <w:r>
        <w:rPr>
          <w:rFonts w:hint="eastAsia" w:ascii="仿宋" w:hAnsi="仿宋" w:eastAsia="仿宋" w:cs="Times New Roman"/>
          <w:color w:val="auto"/>
          <w:sz w:val="32"/>
          <w:szCs w:val="32"/>
        </w:rPr>
        <w:t>1个零售点</w:t>
      </w:r>
      <w:r>
        <w:rPr>
          <w:rFonts w:hint="eastAsia" w:ascii="仿宋" w:hAnsi="仿宋" w:eastAsia="仿宋" w:cs="Times New Roman"/>
          <w:color w:val="auto"/>
          <w:sz w:val="32"/>
          <w:szCs w:val="32"/>
          <w:lang w:eastAsia="zh-CN"/>
        </w:rPr>
        <w:t>；</w:t>
      </w:r>
    </w:p>
    <w:p w14:paraId="6AFB2126">
      <w:pPr>
        <w:spacing w:line="600" w:lineRule="exact"/>
        <w:ind w:firstLine="640" w:firstLineChars="200"/>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rPr>
        <w:t>3.政府授牌的3星级以上星级饭店的经营主体申办烟草专卖零售许可证，</w:t>
      </w:r>
      <w:r>
        <w:rPr>
          <w:rFonts w:hint="eastAsia" w:ascii="仿宋" w:hAnsi="仿宋" w:eastAsia="仿宋" w:cs="Times New Roman"/>
          <w:color w:val="auto"/>
          <w:sz w:val="32"/>
          <w:szCs w:val="32"/>
          <w:lang w:eastAsia="zh-CN"/>
        </w:rPr>
        <w:t>设置</w:t>
      </w:r>
      <w:r>
        <w:rPr>
          <w:rFonts w:hint="eastAsia" w:ascii="仿宋" w:hAnsi="仿宋" w:eastAsia="仿宋" w:cs="Times New Roman"/>
          <w:color w:val="auto"/>
          <w:sz w:val="32"/>
          <w:szCs w:val="32"/>
        </w:rPr>
        <w:t>1个零售点</w:t>
      </w:r>
      <w:r>
        <w:rPr>
          <w:rFonts w:hint="eastAsia" w:ascii="仿宋" w:hAnsi="仿宋" w:eastAsia="仿宋" w:cs="Times New Roman"/>
          <w:color w:val="auto"/>
          <w:sz w:val="32"/>
          <w:szCs w:val="32"/>
          <w:lang w:eastAsia="zh-CN"/>
        </w:rPr>
        <w:t>；</w:t>
      </w:r>
    </w:p>
    <w:p w14:paraId="2985577B">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4.</w:t>
      </w:r>
      <w:r>
        <w:rPr>
          <w:rFonts w:hint="eastAsia" w:ascii="仿宋" w:hAnsi="仿宋" w:eastAsia="仿宋" w:cs="Times New Roman"/>
          <w:color w:val="auto"/>
          <w:sz w:val="32"/>
          <w:szCs w:val="32"/>
        </w:rPr>
        <w:t>2000㎡面积以上的酒店内，业态为便利店、超市、商场、烟酒商店的个体工商户，</w:t>
      </w:r>
      <w:r>
        <w:rPr>
          <w:rFonts w:hint="eastAsia" w:ascii="仿宋" w:hAnsi="仿宋" w:eastAsia="仿宋" w:cs="Times New Roman"/>
          <w:color w:val="auto"/>
          <w:sz w:val="32"/>
          <w:szCs w:val="32"/>
          <w:lang w:eastAsia="zh-CN"/>
        </w:rPr>
        <w:t>设置</w:t>
      </w:r>
      <w:r>
        <w:rPr>
          <w:rFonts w:hint="eastAsia" w:ascii="仿宋" w:hAnsi="仿宋" w:eastAsia="仿宋" w:cs="Times New Roman"/>
          <w:color w:val="auto"/>
          <w:sz w:val="32"/>
          <w:szCs w:val="32"/>
        </w:rPr>
        <w:t>1个零售点</w:t>
      </w:r>
      <w:r>
        <w:rPr>
          <w:rFonts w:hint="eastAsia" w:ascii="仿宋" w:hAnsi="仿宋" w:eastAsia="仿宋" w:cs="Times New Roman"/>
          <w:color w:val="auto"/>
          <w:sz w:val="32"/>
          <w:szCs w:val="32"/>
          <w:lang w:eastAsia="zh-CN"/>
        </w:rPr>
        <w:t>；</w:t>
      </w:r>
    </w:p>
    <w:p w14:paraId="093BD9D4">
      <w:pPr>
        <w:spacing w:line="600" w:lineRule="exact"/>
        <w:ind w:firstLine="640" w:firstLineChars="200"/>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lang w:val="en-US" w:eastAsia="zh-CN"/>
        </w:rPr>
        <w:t>5</w:t>
      </w:r>
      <w:r>
        <w:rPr>
          <w:rFonts w:hint="eastAsia" w:ascii="仿宋" w:hAnsi="仿宋" w:eastAsia="仿宋" w:cs="Times New Roman"/>
          <w:color w:val="auto"/>
          <w:sz w:val="32"/>
          <w:szCs w:val="32"/>
        </w:rPr>
        <w:t>.政府授牌的2A级以上国家级旅游景区以及地方文旅项目区域内的经营主体申办烟草专卖零售许可证，</w:t>
      </w:r>
      <w:r>
        <w:rPr>
          <w:rFonts w:hint="eastAsia" w:ascii="仿宋" w:hAnsi="仿宋" w:eastAsia="仿宋" w:cs="Times New Roman"/>
          <w:color w:val="auto"/>
          <w:sz w:val="32"/>
          <w:szCs w:val="32"/>
          <w:lang w:eastAsia="zh-CN"/>
        </w:rPr>
        <w:t>设置</w:t>
      </w:r>
      <w:r>
        <w:rPr>
          <w:rFonts w:hint="eastAsia" w:ascii="仿宋" w:hAnsi="仿宋" w:eastAsia="仿宋" w:cs="Times New Roman"/>
          <w:color w:val="auto"/>
          <w:sz w:val="32"/>
          <w:szCs w:val="32"/>
        </w:rPr>
        <w:t>1个零售点</w:t>
      </w:r>
      <w:r>
        <w:rPr>
          <w:rFonts w:hint="eastAsia" w:ascii="仿宋" w:hAnsi="仿宋" w:eastAsia="仿宋" w:cs="Times New Roman"/>
          <w:color w:val="auto"/>
          <w:sz w:val="32"/>
          <w:szCs w:val="32"/>
          <w:lang w:eastAsia="zh-CN"/>
        </w:rPr>
        <w:t>；</w:t>
      </w:r>
    </w:p>
    <w:p w14:paraId="5502AD8F">
      <w:pPr>
        <w:spacing w:line="600" w:lineRule="exact"/>
        <w:ind w:firstLine="640" w:firstLineChars="200"/>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lang w:val="en-US" w:eastAsia="zh-CN"/>
        </w:rPr>
        <w:t>6.</w:t>
      </w:r>
      <w:r>
        <w:rPr>
          <w:rFonts w:hint="eastAsia" w:ascii="仿宋" w:hAnsi="仿宋" w:eastAsia="仿宋" w:cs="Times New Roman"/>
          <w:color w:val="auto"/>
          <w:sz w:val="32"/>
          <w:szCs w:val="32"/>
        </w:rPr>
        <w:t>对于营业面积达到2000㎡以上的商场、400㎡以上的超市、200㎡以上的烟草专业店，</w:t>
      </w:r>
      <w:r>
        <w:rPr>
          <w:rFonts w:hint="eastAsia" w:ascii="仿宋" w:hAnsi="仿宋" w:eastAsia="仿宋" w:cs="Times New Roman"/>
          <w:color w:val="auto"/>
          <w:sz w:val="32"/>
          <w:szCs w:val="32"/>
          <w:lang w:eastAsia="zh-CN"/>
        </w:rPr>
        <w:t>设置</w:t>
      </w:r>
      <w:r>
        <w:rPr>
          <w:rFonts w:hint="eastAsia" w:ascii="仿宋" w:hAnsi="仿宋" w:eastAsia="仿宋" w:cs="Times New Roman"/>
          <w:color w:val="auto"/>
          <w:sz w:val="32"/>
          <w:szCs w:val="32"/>
        </w:rPr>
        <w:t>1个零售点</w:t>
      </w:r>
      <w:r>
        <w:rPr>
          <w:rFonts w:hint="eastAsia" w:ascii="仿宋" w:hAnsi="仿宋" w:eastAsia="仿宋" w:cs="Times New Roman"/>
          <w:color w:val="auto"/>
          <w:sz w:val="32"/>
          <w:szCs w:val="32"/>
          <w:lang w:eastAsia="zh-CN"/>
        </w:rPr>
        <w:t>；</w:t>
      </w:r>
    </w:p>
    <w:p w14:paraId="048FDE5C">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7.</w:t>
      </w:r>
      <w:r>
        <w:rPr>
          <w:rFonts w:hint="eastAsia" w:ascii="仿宋" w:hAnsi="仿宋" w:eastAsia="仿宋" w:cs="Times New Roman"/>
          <w:color w:val="auto"/>
          <w:sz w:val="32"/>
          <w:szCs w:val="32"/>
        </w:rPr>
        <w:t>建筑面积5000㎡以上的新兴市场可在规定用途为商业的固定经营场所内，</w:t>
      </w:r>
      <w:r>
        <w:rPr>
          <w:rFonts w:hint="eastAsia" w:ascii="仿宋" w:hAnsi="仿宋" w:eastAsia="仿宋" w:cs="Times New Roman"/>
          <w:color w:val="auto"/>
          <w:sz w:val="32"/>
          <w:szCs w:val="32"/>
          <w:lang w:eastAsia="zh-CN"/>
        </w:rPr>
        <w:t>设置</w:t>
      </w:r>
      <w:r>
        <w:rPr>
          <w:rFonts w:hint="eastAsia" w:ascii="仿宋" w:hAnsi="仿宋" w:eastAsia="仿宋" w:cs="Times New Roman"/>
          <w:color w:val="auto"/>
          <w:sz w:val="32"/>
          <w:szCs w:val="32"/>
        </w:rPr>
        <w:t>1个零售点</w:t>
      </w:r>
      <w:r>
        <w:rPr>
          <w:rFonts w:hint="eastAsia" w:ascii="仿宋" w:hAnsi="仿宋" w:eastAsia="仿宋" w:cs="Times New Roman"/>
          <w:color w:val="auto"/>
          <w:sz w:val="32"/>
          <w:szCs w:val="32"/>
          <w:lang w:eastAsia="zh-CN"/>
        </w:rPr>
        <w:t>；</w:t>
      </w:r>
    </w:p>
    <w:p w14:paraId="4AD67A50">
      <w:pPr>
        <w:spacing w:line="600" w:lineRule="exact"/>
        <w:ind w:firstLine="640" w:firstLineChars="200"/>
        <w:rPr>
          <w:rFonts w:hint="eastAsia" w:ascii="仿宋" w:hAnsi="仿宋" w:eastAsia="仿宋" w:cs="Times New Roman"/>
          <w:color w:val="auto"/>
          <w:sz w:val="32"/>
          <w:szCs w:val="32"/>
        </w:rPr>
      </w:pPr>
      <w:r>
        <w:rPr>
          <w:rFonts w:hint="eastAsia" w:ascii="仿宋" w:hAnsi="仿宋" w:eastAsia="仿宋" w:cs="Times New Roman"/>
          <w:color w:val="auto"/>
          <w:sz w:val="32"/>
          <w:szCs w:val="32"/>
          <w:lang w:val="en-US" w:eastAsia="zh-CN"/>
        </w:rPr>
        <w:t>8.</w:t>
      </w:r>
      <w:r>
        <w:rPr>
          <w:rFonts w:hint="eastAsia" w:ascii="仿宋" w:hAnsi="仿宋" w:eastAsia="仿宋" w:cs="Times New Roman"/>
          <w:color w:val="auto"/>
          <w:sz w:val="32"/>
          <w:szCs w:val="32"/>
        </w:rPr>
        <w:t>未设置零售点的行政村（自然村），</w:t>
      </w:r>
      <w:r>
        <w:rPr>
          <w:rFonts w:hint="eastAsia" w:ascii="仿宋" w:hAnsi="仿宋" w:eastAsia="仿宋" w:cs="Times New Roman"/>
          <w:color w:val="auto"/>
          <w:sz w:val="32"/>
          <w:szCs w:val="32"/>
          <w:lang w:eastAsia="zh-CN"/>
        </w:rPr>
        <w:t>设置</w:t>
      </w:r>
      <w:r>
        <w:rPr>
          <w:rFonts w:hint="eastAsia" w:ascii="仿宋" w:hAnsi="仿宋" w:eastAsia="仿宋" w:cs="Times New Roman"/>
          <w:color w:val="auto"/>
          <w:sz w:val="32"/>
          <w:szCs w:val="32"/>
        </w:rPr>
        <w:t>1个零售点。</w:t>
      </w:r>
    </w:p>
    <w:p w14:paraId="60DA8802">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（三）下列情形可不受所在一般市场单元总量及间距限制，且不作为当期周边新设置零售点的参照：</w:t>
      </w:r>
    </w:p>
    <w:p w14:paraId="61B560F1">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1.年满十八周岁持有“三属”优待证的人员，由其本人提出申请的；</w:t>
      </w:r>
    </w:p>
    <w:p w14:paraId="2741BA2A">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2.符合《烟草专卖许可证管理办法》第六十三条规定情形的；</w:t>
      </w:r>
    </w:p>
    <w:p w14:paraId="498AF8C9">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3.中小学校周围经听证确定的不予发放烟草专卖零售许可证的距离范围内，原持证人主动申请搬迁的；</w:t>
      </w:r>
    </w:p>
    <w:p w14:paraId="7056442B">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4.因道路规划、城市建设等客观原因，造成经营地址改变，原持证人提出变更申请的；</w:t>
      </w:r>
    </w:p>
    <w:p w14:paraId="7AD370BB">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5.依据第九条第三项第三目已搬迁的烟草专卖零售许可证，当第九条第三项第三目规定的不予发放烟草专卖零售许可证的条件消除时，持证人将该烟草专卖零售许可证歇业后在原搬出地址重新申领的。</w:t>
      </w:r>
    </w:p>
    <w:p w14:paraId="4DC9B36D">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（四）下列情形不受所在一般市场单元总量限制，间距按申请所在一般市场单元标准的80%给予优待，但应当作为周边新设置零售点的参照:</w:t>
      </w:r>
    </w:p>
    <w:p w14:paraId="6B803AB8">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申请人为视力残疾的一级盲、二级盲，听力残疾的一、二、三级，言语残疾的一、二、三级，肢体残疾的重度（一级）、中度（二级）。</w:t>
      </w:r>
    </w:p>
    <w:p w14:paraId="7FB1CAF1">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以上给予适当放宽情形，同一申请人在本辖区内只能放宽一次。</w:t>
      </w:r>
    </w:p>
    <w:p w14:paraId="22A91DB5">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残疾人、“三属”需要适用办证适当放宽政策的个人，需符合《岳池县烟草专卖局关于残疾人、“三属”优待条件的认定标准》（见附件），且在本辖区范围内未取得烟草专卖零售许可证，其工商营业执照的市场类型为个体工商户且组成形式为个人经营。若持证主体在家庭共同经营成员间变更，则需达到该单元内一般申请主体的办证要求。</w:t>
      </w:r>
    </w:p>
    <w:p w14:paraId="7274656D">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rPr>
          <w:rFonts w:hint="eastAsia" w:ascii="黑体" w:hAnsi="黑体" w:eastAsia="黑体" w:cs="Times New Roman"/>
          <w:bCs/>
          <w:color w:val="000000"/>
          <w:kern w:val="0"/>
          <w:sz w:val="32"/>
          <w:szCs w:val="32"/>
          <w:lang w:val="en-US" w:eastAsia="zh-CN"/>
        </w:rPr>
      </w:pPr>
      <w:r>
        <w:rPr>
          <w:rFonts w:hint="eastAsia" w:ascii="黑体" w:hAnsi="黑体" w:eastAsia="黑体" w:cs="Times New Roman"/>
          <w:bCs/>
          <w:color w:val="000000"/>
          <w:kern w:val="0"/>
          <w:sz w:val="32"/>
          <w:szCs w:val="32"/>
          <w:lang w:val="en-US" w:eastAsia="zh-CN"/>
        </w:rPr>
        <w:t>第三章 雪茄烟专营零售点布局标准</w:t>
      </w:r>
    </w:p>
    <w:p w14:paraId="2ACC89C4">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第十条  在城区范围内开设的雪茄会所、雪茄俱乐部或仅经营雪茄烟的烟吧、专营店、形象店等满足雪茄烟消费人群消费需求的雪茄烟零售点，且申请的经营范围仅为雪茄烟零售的，不受所在一般市场单元总量及间距限制，给予优待，既不作为新设置零售点的间距参照，也不纳入一般市场单元总量。</w:t>
      </w:r>
    </w:p>
    <w:p w14:paraId="799BA550">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第十一条  申请适用适当放宽政策的雪茄烟零售点，应当有专门用于雪茄烟陈列、展示的设施，有能够恒定维持雪茄烟储存所需湿度、温度条件的设备设施，有满足雪茄烟品鉴条件的区域、工具及良好通风条件的品鉴环境，保证申请人的经营能力和服务质量。且申请的经营场所持证后如需调整经营范围的，则应当符合所在一般市场单元内总量及间距要求。同一经营地址已经办理了烟草专卖零售许可证，在有效期内不再核准雪茄烟零售许可。</w:t>
      </w:r>
    </w:p>
    <w:p w14:paraId="6C41D2CD">
      <w:pPr>
        <w:spacing w:line="600" w:lineRule="exact"/>
        <w:ind w:firstLine="640" w:firstLineChars="200"/>
        <w:rPr>
          <w:rFonts w:hint="eastAsia" w:ascii="Times New Roman" w:hAnsi="Times New Roman" w:eastAsia="仿宋_GB2312" w:cs="Times New Roman"/>
          <w:color w:val="0000FF"/>
          <w:sz w:val="32"/>
          <w:szCs w:val="32"/>
          <w:lang w:val="en-US" w:eastAsia="zh-CN"/>
        </w:rPr>
      </w:pPr>
      <w:r>
        <w:rPr>
          <w:rFonts w:hint="eastAsia" w:ascii="仿宋" w:hAnsi="仿宋" w:eastAsia="仿宋" w:cs="Times New Roman"/>
          <w:color w:val="000000"/>
          <w:sz w:val="32"/>
          <w:szCs w:val="32"/>
          <w:lang w:val="en-US" w:eastAsia="zh-CN"/>
        </w:rPr>
        <w:t>第十二条  雪茄会所、雪茄俱乐部或仅经营雪茄烟的烟吧、专营店、形象店等雪茄烟零售点，仅在城区范围内设置且最多设置3个，由岳池县烟草专卖局每季度公示设置零售点的数量。</w:t>
      </w:r>
    </w:p>
    <w:p w14:paraId="4A2D8905">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rPr>
          <w:rFonts w:hint="eastAsia" w:ascii="黑体" w:hAnsi="黑体" w:eastAsia="黑体" w:cs="Times New Roman"/>
          <w:bCs/>
          <w:color w:val="000000"/>
          <w:kern w:val="0"/>
          <w:sz w:val="32"/>
          <w:szCs w:val="32"/>
          <w:lang w:val="en-US" w:eastAsia="zh-CN"/>
        </w:rPr>
      </w:pPr>
      <w:r>
        <w:rPr>
          <w:rFonts w:hint="eastAsia" w:ascii="黑体" w:hAnsi="黑体" w:eastAsia="黑体" w:cs="Times New Roman"/>
          <w:bCs/>
          <w:color w:val="000000"/>
          <w:kern w:val="0"/>
          <w:sz w:val="32"/>
          <w:szCs w:val="32"/>
          <w:lang w:val="en-US" w:eastAsia="zh-CN"/>
        </w:rPr>
        <w:t>第四章 不予情形</w:t>
      </w:r>
    </w:p>
    <w:p w14:paraId="3330D62F">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第十三条  有下列情形之一的，不予发放烟草专卖零售许可证：</w:t>
      </w:r>
    </w:p>
    <w:p w14:paraId="0FDBF2D1">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（一）申请资格方面：</w:t>
      </w:r>
    </w:p>
    <w:p w14:paraId="6793ABFE">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1.无民事行为能力或限制民事行为能力人；</w:t>
      </w:r>
    </w:p>
    <w:p w14:paraId="7A263A71">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2.外商投资的商业企业或者个体工商户（业态为娱乐服务类或者内资租赁外商投资的商业企业的柜台除外）；</w:t>
      </w:r>
    </w:p>
    <w:p w14:paraId="69CBD2EB">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3.与外资市场主体在同一经营场所经营，不具备独立收银人员、独立收银系统、独立收银小票，不具备独立资金结算条件的；</w:t>
      </w:r>
    </w:p>
    <w:p w14:paraId="7CEF3A81">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4.未取得营业执照的；</w:t>
      </w:r>
    </w:p>
    <w:p w14:paraId="594A24D0">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5.取消从事烟草专卖业务资格不满三年的；</w:t>
      </w:r>
    </w:p>
    <w:p w14:paraId="6183CD31">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6.申请人隐瞒有关情况或者提供虚假材料，烟草专卖行政主管部门作出不予受理或者不予发证决定后，申请人一年内再次提出申请的；</w:t>
      </w:r>
    </w:p>
    <w:p w14:paraId="6BEE59C2">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7.申请人以欺骗、贿赂等不正当手段取得的烟草专卖许可证被撤销后，申请人三年内再次提出申请的；</w:t>
      </w:r>
    </w:p>
    <w:p w14:paraId="1E3E5DBB">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8.未领取烟草专卖零售许可证经营烟草专卖品业务，并且一年内被执法机关处罚两次以上，在三年内申请领取烟草专卖零售许可证的；</w:t>
      </w:r>
    </w:p>
    <w:p w14:paraId="18731DA2">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9.未领取烟草专卖零售许可证经营烟草制品业务被追究刑事责任，在3年内申请领取烟草专卖零售许可证的。</w:t>
      </w:r>
    </w:p>
    <w:p w14:paraId="040A01A3">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（二）经营场所方面：</w:t>
      </w:r>
    </w:p>
    <w:p w14:paraId="6C0619CC">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1.无固定经营场所的，包括但不仅限于：简易搭盖、临时建筑、违章建筑，流动性和季节性摊、点、车、棚、亭等，以及占用公共资源、公共设施等无合法使用证明的经营场所；</w:t>
      </w:r>
    </w:p>
    <w:p w14:paraId="3A5A061B">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2.经营场所与住所不相独立的，无法明确划分的，包括但不限于经营场所为住所的客厅、餐厅、卧室、阳台、地下室、储藏室等未对消费者全开放的场所；</w:t>
      </w:r>
    </w:p>
    <w:p w14:paraId="701BD0B7">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3.正在修建、尚未完工或未取得当地住房和城乡建设局提供的《四川省房屋建筑和市政基础设施工程竣工验收备案书》或“保交楼”项目相关证明材料的建筑物、构筑物；</w:t>
      </w:r>
    </w:p>
    <w:p w14:paraId="0373E492">
      <w:pPr>
        <w:spacing w:line="60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4.同一经营场所已经办理了烟草专卖零售许可证，且该许可证在有效期内的；</w:t>
      </w:r>
    </w:p>
    <w:p w14:paraId="743CE407">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5.经营场所存在安全隐患且不具备安全措施保障，不适宜经营卷烟的，包括但不限于经营或存放有毒有害、易燃易爆、放射性物品等容易造成卷烟污染的场所；</w:t>
      </w:r>
    </w:p>
    <w:p w14:paraId="0F845148">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6.法律、法规、规章和烟草专卖行政主管部门规定的其他不得设置零售点的区域。</w:t>
      </w:r>
    </w:p>
    <w:p w14:paraId="5CB25245">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（三）经营模式方面：</w:t>
      </w:r>
    </w:p>
    <w:p w14:paraId="0460398F">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1.通过自动售货机（柜）、无人超市、电玩游戏机等自动售货形式，销售或者变相销售烟草制品的；</w:t>
      </w:r>
    </w:p>
    <w:p w14:paraId="040A2C52">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2.利用信息网络渠道销售卷烟。</w:t>
      </w:r>
    </w:p>
    <w:p w14:paraId="34500D42">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（四）特殊区域：</w:t>
      </w:r>
    </w:p>
    <w:p w14:paraId="1A2CDC5A">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1.中小学校、幼儿园内部；城区零售点与中小学校、幼儿园出入口可行进距离不超过50米的；</w:t>
      </w:r>
    </w:p>
    <w:p w14:paraId="3036A213">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2.乡镇零售点与中小学校、幼儿园出入口可行进距离不超过30米的；</w:t>
      </w:r>
    </w:p>
    <w:p w14:paraId="3751FAFA">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3.拟拆迁房屋、危房（以政府公示公告为准）；</w:t>
      </w:r>
    </w:p>
    <w:p w14:paraId="5803A14F">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4.政府明令禁止经营卷烟类商品的区域。</w:t>
      </w:r>
    </w:p>
    <w:p w14:paraId="6CE3EB93">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（五）其他方面：</w:t>
      </w:r>
    </w:p>
    <w:p w14:paraId="6A2FCEFE">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1.零售点数量已达到所在市场单元合理布局规定上限的；</w:t>
      </w:r>
    </w:p>
    <w:p w14:paraId="1CB4C1B3">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2.</w:t>
      </w:r>
      <w:bookmarkStart w:id="0" w:name="_Hlk187737777"/>
      <w:r>
        <w:rPr>
          <w:rFonts w:hint="eastAsia" w:ascii="仿宋" w:hAnsi="仿宋" w:eastAsia="仿宋" w:cs="Times New Roman"/>
          <w:color w:val="000000"/>
          <w:sz w:val="32"/>
          <w:szCs w:val="32"/>
          <w:lang w:val="en-US" w:eastAsia="zh-CN"/>
        </w:rPr>
        <w:t>法律、法规、规章和国家烟草专卖局规定的其他不予发证的情形。</w:t>
      </w:r>
    </w:p>
    <w:bookmarkEnd w:id="0"/>
    <w:p w14:paraId="6B06E4C4">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rPr>
          <w:rFonts w:hint="eastAsia" w:ascii="黑体" w:hAnsi="黑体" w:eastAsia="黑体" w:cs="Times New Roman"/>
          <w:bCs/>
          <w:color w:val="000000"/>
          <w:kern w:val="0"/>
          <w:sz w:val="32"/>
          <w:szCs w:val="32"/>
        </w:rPr>
      </w:pPr>
      <w:r>
        <w:rPr>
          <w:rFonts w:hint="eastAsia" w:ascii="黑体" w:hAnsi="黑体" w:eastAsia="黑体" w:cs="Times New Roman"/>
          <w:bCs/>
          <w:color w:val="000000"/>
          <w:kern w:val="0"/>
          <w:sz w:val="32"/>
          <w:szCs w:val="32"/>
        </w:rPr>
        <w:t>第</w:t>
      </w:r>
      <w:r>
        <w:rPr>
          <w:rFonts w:hint="eastAsia" w:ascii="黑体" w:hAnsi="黑体" w:eastAsia="黑体" w:cs="Times New Roman"/>
          <w:bCs/>
          <w:color w:val="000000"/>
          <w:kern w:val="0"/>
          <w:sz w:val="32"/>
          <w:szCs w:val="32"/>
          <w:lang w:eastAsia="zh-CN"/>
        </w:rPr>
        <w:t>五</w:t>
      </w:r>
      <w:r>
        <w:rPr>
          <w:rFonts w:hint="eastAsia" w:ascii="黑体" w:hAnsi="黑体" w:eastAsia="黑体" w:cs="Times New Roman"/>
          <w:bCs/>
          <w:color w:val="000000"/>
          <w:kern w:val="0"/>
          <w:sz w:val="32"/>
          <w:szCs w:val="32"/>
        </w:rPr>
        <w:t>章 术语解释</w:t>
      </w:r>
    </w:p>
    <w:p w14:paraId="3B125501">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第十四条  术语解释及说明</w:t>
      </w:r>
    </w:p>
    <w:p w14:paraId="08844DFD">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（一）本规定中的“三属”是指烈士遗属、因公牺牲军人遗属、病故军人遗属。</w:t>
      </w:r>
    </w:p>
    <w:p w14:paraId="04C187ED">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二）本规定中的“中小学校”，是指普通中小学校、特殊教育学校、中等职业学校、专门学校。本规定中的“幼儿园”是指经教育主管部门认可、具备合法办学资质的幼儿园。中小学、幼儿园出入口通道是指中小学、幼儿园供行人、车辆进出等通道口，包括：主校门、侧门、后门、教职工通道、后勤通道、消防通道、应急通道、垃圾通道，以及常年关闭的边门等可与该中小学、幼儿园连通的所有通道。</w:t>
      </w:r>
    </w:p>
    <w:p w14:paraId="49A2D06D">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三）“营业面积”：是指经营场所房产证明载明的套内建筑面积（包括不动产权证、已备案的购房合同）、职能部门或地方政府出具的书面证明载明的面积，房屋所建夹层、仓库、院坝、池塘等面积不纳入营业面积范畴。房产证明面积模糊不清、无法认定的，以2名以上烟草专卖管理人员实地勘验核查的面积为准。</w:t>
      </w:r>
    </w:p>
    <w:p w14:paraId="51B9DB6F">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（四）本规划中“不超过”、“不少于”、“以上”、“以内”包含本数。</w:t>
      </w:r>
    </w:p>
    <w:p w14:paraId="53C08006">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rPr>
          <w:rFonts w:hint="eastAsia" w:ascii="黑体" w:hAnsi="黑体" w:eastAsia="黑体" w:cs="Times New Roman"/>
          <w:bCs/>
          <w:color w:val="000000"/>
          <w:kern w:val="0"/>
          <w:sz w:val="32"/>
          <w:szCs w:val="32"/>
          <w:lang w:val="en-US" w:eastAsia="zh-CN"/>
        </w:rPr>
      </w:pPr>
      <w:r>
        <w:rPr>
          <w:rFonts w:hint="eastAsia" w:ascii="黑体" w:hAnsi="黑体" w:eastAsia="黑体" w:cs="Times New Roman"/>
          <w:bCs/>
          <w:color w:val="000000"/>
          <w:kern w:val="0"/>
          <w:sz w:val="32"/>
          <w:szCs w:val="32"/>
          <w:lang w:val="en-US" w:eastAsia="zh-CN"/>
        </w:rPr>
        <w:t>第六章 附则</w:t>
      </w:r>
    </w:p>
    <w:p w14:paraId="44ED0065">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第十五条  本规定经x年x月x日听证通过，并报广安市烟草专卖局、XX人民政府备案，于XX年X月X日起实施，本规定有效期至XX年X月X日。原X年X月X日起实施的XX烟草专卖局零售点合理化布局规划（文号）同时废止。</w:t>
      </w:r>
    </w:p>
    <w:p w14:paraId="68EDA1CC">
      <w:pPr>
        <w:spacing w:line="600" w:lineRule="exact"/>
        <w:ind w:firstLine="640" w:firstLineChars="200"/>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第十六条  本规定由岳池县烟草专卖局负责解释。</w:t>
      </w:r>
    </w:p>
    <w:p w14:paraId="41FB0322">
      <w:pPr>
        <w:spacing w:line="600" w:lineRule="exact"/>
        <w:ind w:firstLine="640" w:firstLineChars="200"/>
        <w:rPr>
          <w:rFonts w:hint="eastAsia" w:ascii="仿宋" w:hAnsi="仿宋" w:eastAsia="仿宋" w:cs="Times New Roman"/>
          <w:color w:val="000000"/>
          <w:sz w:val="32"/>
          <w:szCs w:val="32"/>
          <w:lang w:val="en-US" w:eastAsia="zh-CN"/>
        </w:rPr>
      </w:pPr>
    </w:p>
    <w:p w14:paraId="7798CE1D">
      <w:pPr>
        <w:spacing w:line="600" w:lineRule="exact"/>
        <w:ind w:firstLine="640" w:firstLineChars="200"/>
        <w:rPr>
          <w:rFonts w:hint="eastAsia" w:ascii="仿宋" w:hAnsi="仿宋" w:eastAsia="仿宋"/>
          <w:color w:val="auto"/>
          <w:sz w:val="32"/>
          <w:szCs w:val="32"/>
          <w:lang w:eastAsia="zh-CN"/>
        </w:rPr>
      </w:pPr>
      <w:bookmarkStart w:id="1" w:name="attache_title"/>
      <w:r>
        <w:rPr>
          <w:rFonts w:hint="eastAsia" w:ascii="仿宋" w:hAnsi="仿宋" w:eastAsia="仿宋"/>
          <w:color w:val="auto"/>
          <w:sz w:val="32"/>
          <w:szCs w:val="32"/>
        </w:rPr>
        <w:t>附件：1.</w:t>
      </w:r>
      <w:r>
        <w:rPr>
          <w:rFonts w:hint="eastAsia" w:ascii="仿宋" w:hAnsi="仿宋" w:eastAsia="仿宋"/>
          <w:color w:val="auto"/>
          <w:sz w:val="32"/>
          <w:szCs w:val="32"/>
          <w:lang w:eastAsia="zh-CN"/>
        </w:rPr>
        <w:t>岳池</w:t>
      </w:r>
      <w:r>
        <w:rPr>
          <w:rFonts w:hint="eastAsia" w:ascii="仿宋" w:hAnsi="仿宋" w:eastAsia="仿宋"/>
          <w:color w:val="auto"/>
          <w:sz w:val="32"/>
          <w:szCs w:val="32"/>
        </w:rPr>
        <w:t>县烟草专卖局关于残疾人、“三属”优待条件</w:t>
      </w:r>
      <w:r>
        <w:rPr>
          <w:rFonts w:hint="eastAsia" w:ascii="仿宋" w:hAnsi="仿宋" w:eastAsia="仿宋"/>
          <w:color w:val="auto"/>
          <w:sz w:val="32"/>
          <w:szCs w:val="32"/>
          <w:lang w:eastAsia="zh-CN"/>
        </w:rPr>
        <w:t>的认定标准</w:t>
      </w:r>
    </w:p>
    <w:p w14:paraId="22AB86FA">
      <w:pPr>
        <w:spacing w:line="600" w:lineRule="exact"/>
        <w:ind w:left="945" w:leftChars="450" w:firstLine="640" w:firstLineChars="200"/>
        <w:rPr>
          <w:rFonts w:hint="eastAsia" w:ascii="仿宋" w:hAnsi="仿宋" w:eastAsia="仿宋"/>
          <w:color w:val="auto"/>
          <w:sz w:val="32"/>
          <w:szCs w:val="32"/>
        </w:rPr>
      </w:pPr>
      <w:r>
        <w:rPr>
          <w:rFonts w:hint="eastAsia" w:ascii="仿宋" w:hAnsi="仿宋" w:eastAsia="仿宋"/>
          <w:color w:val="auto"/>
          <w:sz w:val="32"/>
          <w:szCs w:val="32"/>
        </w:rPr>
        <w:t>2.</w:t>
      </w:r>
      <w:r>
        <w:rPr>
          <w:rFonts w:hint="eastAsia" w:ascii="仿宋" w:hAnsi="仿宋" w:eastAsia="仿宋"/>
          <w:color w:val="auto"/>
          <w:sz w:val="32"/>
          <w:szCs w:val="32"/>
          <w:lang w:eastAsia="zh-CN"/>
        </w:rPr>
        <w:t>岳池</w:t>
      </w:r>
      <w:r>
        <w:rPr>
          <w:rFonts w:hint="eastAsia" w:ascii="仿宋" w:hAnsi="仿宋" w:eastAsia="仿宋"/>
          <w:color w:val="auto"/>
          <w:sz w:val="32"/>
          <w:szCs w:val="32"/>
        </w:rPr>
        <w:t>县烟草专卖局烟草制品零售点勘验标准</w:t>
      </w:r>
    </w:p>
    <w:p w14:paraId="44C08AAB">
      <w:pPr>
        <w:spacing w:line="600" w:lineRule="exact"/>
        <w:ind w:left="945" w:leftChars="450" w:firstLine="640" w:firstLineChars="200"/>
        <w:rPr>
          <w:rFonts w:hint="eastAsia" w:ascii="仿宋" w:hAnsi="仿宋" w:eastAsia="仿宋"/>
          <w:color w:val="auto"/>
          <w:sz w:val="32"/>
          <w:szCs w:val="32"/>
        </w:rPr>
      </w:pPr>
      <w:r>
        <w:rPr>
          <w:rFonts w:hint="eastAsia" w:ascii="仿宋" w:hAnsi="仿宋" w:eastAsia="仿宋"/>
          <w:color w:val="auto"/>
          <w:sz w:val="32"/>
          <w:szCs w:val="32"/>
        </w:rPr>
        <w:t>3.</w:t>
      </w:r>
      <w:r>
        <w:rPr>
          <w:rFonts w:hint="eastAsia" w:ascii="仿宋" w:hAnsi="仿宋" w:eastAsia="仿宋"/>
          <w:color w:val="auto"/>
          <w:sz w:val="32"/>
          <w:szCs w:val="32"/>
          <w:lang w:eastAsia="zh-CN"/>
        </w:rPr>
        <w:t>岳池</w:t>
      </w:r>
      <w:r>
        <w:rPr>
          <w:rFonts w:hint="eastAsia" w:ascii="仿宋" w:hAnsi="仿宋" w:eastAsia="仿宋"/>
          <w:color w:val="auto"/>
          <w:sz w:val="32"/>
          <w:szCs w:val="32"/>
        </w:rPr>
        <w:t>县烟草制品零售点总量规定</w:t>
      </w:r>
      <w:bookmarkEnd w:id="1"/>
    </w:p>
    <w:p w14:paraId="06F36909">
      <w:pPr>
        <w:spacing w:line="600" w:lineRule="exact"/>
        <w:ind w:left="945" w:leftChars="450" w:firstLine="640" w:firstLineChars="200"/>
        <w:rPr>
          <w:rFonts w:hint="default" w:ascii="仿宋" w:hAnsi="仿宋" w:eastAsia="仿宋"/>
          <w:color w:val="auto"/>
          <w:sz w:val="32"/>
          <w:szCs w:val="32"/>
          <w:lang w:val="en-US" w:eastAsia="zh-CN"/>
        </w:rPr>
      </w:pPr>
      <w:r>
        <w:rPr>
          <w:rFonts w:hint="eastAsia" w:ascii="仿宋" w:hAnsi="仿宋" w:eastAsia="仿宋"/>
          <w:color w:val="auto"/>
          <w:sz w:val="32"/>
          <w:szCs w:val="32"/>
          <w:lang w:val="en-US" w:eastAsia="zh-CN"/>
        </w:rPr>
        <w:t>4.岳池县烟草制品雪茄烟零售点总量规定</w:t>
      </w:r>
    </w:p>
    <w:p w14:paraId="53ACDA85">
      <w:pPr>
        <w:rPr>
          <w:rFonts w:ascii="仿宋_GB2312" w:hAnsi="宋体" w:eastAsia="仿宋_GB2312" w:cs="宋体"/>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820B55"/>
    <w:rsid w:val="00026A92"/>
    <w:rsid w:val="00052721"/>
    <w:rsid w:val="000A0FE2"/>
    <w:rsid w:val="000C54C8"/>
    <w:rsid w:val="000D792A"/>
    <w:rsid w:val="00112905"/>
    <w:rsid w:val="00113744"/>
    <w:rsid w:val="001635D4"/>
    <w:rsid w:val="0019487D"/>
    <w:rsid w:val="001B2103"/>
    <w:rsid w:val="00287205"/>
    <w:rsid w:val="0030277C"/>
    <w:rsid w:val="00360F4A"/>
    <w:rsid w:val="003A54CC"/>
    <w:rsid w:val="003F133F"/>
    <w:rsid w:val="00463889"/>
    <w:rsid w:val="004A5C22"/>
    <w:rsid w:val="004B7022"/>
    <w:rsid w:val="004C4DF9"/>
    <w:rsid w:val="00530282"/>
    <w:rsid w:val="00534995"/>
    <w:rsid w:val="005468DF"/>
    <w:rsid w:val="005A2FCD"/>
    <w:rsid w:val="005C6D88"/>
    <w:rsid w:val="00635385"/>
    <w:rsid w:val="00694D28"/>
    <w:rsid w:val="006E1DF3"/>
    <w:rsid w:val="006E5A80"/>
    <w:rsid w:val="006E5DF0"/>
    <w:rsid w:val="0074504F"/>
    <w:rsid w:val="00750CC2"/>
    <w:rsid w:val="007D1A25"/>
    <w:rsid w:val="00835347"/>
    <w:rsid w:val="00857F6D"/>
    <w:rsid w:val="00897280"/>
    <w:rsid w:val="008F19DF"/>
    <w:rsid w:val="009910F9"/>
    <w:rsid w:val="00A210AD"/>
    <w:rsid w:val="00A65108"/>
    <w:rsid w:val="00AD2D63"/>
    <w:rsid w:val="00AF1937"/>
    <w:rsid w:val="00AF7DBA"/>
    <w:rsid w:val="00B435FF"/>
    <w:rsid w:val="00B55E3B"/>
    <w:rsid w:val="00B8038F"/>
    <w:rsid w:val="00B86A05"/>
    <w:rsid w:val="00BC72BE"/>
    <w:rsid w:val="00C905DF"/>
    <w:rsid w:val="00CC15E4"/>
    <w:rsid w:val="00CD7510"/>
    <w:rsid w:val="00CE212E"/>
    <w:rsid w:val="00D10EA6"/>
    <w:rsid w:val="00D41C81"/>
    <w:rsid w:val="00D753D4"/>
    <w:rsid w:val="00D762BE"/>
    <w:rsid w:val="00DA1CFB"/>
    <w:rsid w:val="00DA428C"/>
    <w:rsid w:val="00E36EBD"/>
    <w:rsid w:val="00E72F0F"/>
    <w:rsid w:val="00E808FC"/>
    <w:rsid w:val="00EA5E0D"/>
    <w:rsid w:val="00EB7E5B"/>
    <w:rsid w:val="00F40ED9"/>
    <w:rsid w:val="00F4170C"/>
    <w:rsid w:val="00F5250F"/>
    <w:rsid w:val="01757F74"/>
    <w:rsid w:val="0AE93399"/>
    <w:rsid w:val="0B820B55"/>
    <w:rsid w:val="1DFF5DFE"/>
    <w:rsid w:val="1E875AD6"/>
    <w:rsid w:val="2171636C"/>
    <w:rsid w:val="21A0020F"/>
    <w:rsid w:val="27FF860E"/>
    <w:rsid w:val="283D0DA1"/>
    <w:rsid w:val="2A9E78A2"/>
    <w:rsid w:val="2C6C79EE"/>
    <w:rsid w:val="2D347437"/>
    <w:rsid w:val="33B5D17D"/>
    <w:rsid w:val="35FBC1F1"/>
    <w:rsid w:val="38E6E995"/>
    <w:rsid w:val="3BA7F2FE"/>
    <w:rsid w:val="3EFF70AA"/>
    <w:rsid w:val="3FEBF538"/>
    <w:rsid w:val="4BF7E382"/>
    <w:rsid w:val="57F91302"/>
    <w:rsid w:val="57F97235"/>
    <w:rsid w:val="59EE4672"/>
    <w:rsid w:val="5AFF8040"/>
    <w:rsid w:val="5BBAF86B"/>
    <w:rsid w:val="5CBF144E"/>
    <w:rsid w:val="5DECA4FF"/>
    <w:rsid w:val="5EE90985"/>
    <w:rsid w:val="5EFF87F5"/>
    <w:rsid w:val="5F5FB627"/>
    <w:rsid w:val="5F7FB858"/>
    <w:rsid w:val="5FD7F674"/>
    <w:rsid w:val="6BA54BCA"/>
    <w:rsid w:val="6BFFA6CC"/>
    <w:rsid w:val="6D125276"/>
    <w:rsid w:val="6DCF4176"/>
    <w:rsid w:val="6E9F0253"/>
    <w:rsid w:val="6FDF6AFF"/>
    <w:rsid w:val="71FF9F1D"/>
    <w:rsid w:val="73E58779"/>
    <w:rsid w:val="77724027"/>
    <w:rsid w:val="7773B345"/>
    <w:rsid w:val="779F0979"/>
    <w:rsid w:val="7AECAECF"/>
    <w:rsid w:val="7B754C71"/>
    <w:rsid w:val="7B78C358"/>
    <w:rsid w:val="7BF798B5"/>
    <w:rsid w:val="7BF7F53B"/>
    <w:rsid w:val="7BFFD240"/>
    <w:rsid w:val="7CD94362"/>
    <w:rsid w:val="7D1F4B13"/>
    <w:rsid w:val="7D3D0342"/>
    <w:rsid w:val="7E5CE997"/>
    <w:rsid w:val="7E5F863E"/>
    <w:rsid w:val="7EB36BE0"/>
    <w:rsid w:val="7EFF7DB4"/>
    <w:rsid w:val="7FF1B18B"/>
    <w:rsid w:val="7FFD3945"/>
    <w:rsid w:val="7FFE7368"/>
    <w:rsid w:val="7FFFC7AE"/>
    <w:rsid w:val="87FF61B4"/>
    <w:rsid w:val="9633C23E"/>
    <w:rsid w:val="9BFEC2F5"/>
    <w:rsid w:val="9E7F53D9"/>
    <w:rsid w:val="A27BC07D"/>
    <w:rsid w:val="A8F747E2"/>
    <w:rsid w:val="ABFF1EDE"/>
    <w:rsid w:val="AD9F664C"/>
    <w:rsid w:val="B17FBBA0"/>
    <w:rsid w:val="B7DE58DB"/>
    <w:rsid w:val="B8FD6C86"/>
    <w:rsid w:val="BBD7A04C"/>
    <w:rsid w:val="BBF9E9A5"/>
    <w:rsid w:val="BEEAB7F9"/>
    <w:rsid w:val="BF7D23BA"/>
    <w:rsid w:val="BFD584EC"/>
    <w:rsid w:val="C4E3AC4B"/>
    <w:rsid w:val="CDFA402D"/>
    <w:rsid w:val="D563D66F"/>
    <w:rsid w:val="D5FB352F"/>
    <w:rsid w:val="DDE7A643"/>
    <w:rsid w:val="DDFF59FF"/>
    <w:rsid w:val="DF77974E"/>
    <w:rsid w:val="DF9768F4"/>
    <w:rsid w:val="DFF6201F"/>
    <w:rsid w:val="DFFD60EF"/>
    <w:rsid w:val="EBEE6839"/>
    <w:rsid w:val="EDEA2317"/>
    <w:rsid w:val="EECE979E"/>
    <w:rsid w:val="EFDE95D1"/>
    <w:rsid w:val="EFF7982A"/>
    <w:rsid w:val="EFF95C2F"/>
    <w:rsid w:val="F21F432B"/>
    <w:rsid w:val="F3F75A0A"/>
    <w:rsid w:val="F7AF8872"/>
    <w:rsid w:val="F7B3F474"/>
    <w:rsid w:val="F7FBC482"/>
    <w:rsid w:val="FADE0B7C"/>
    <w:rsid w:val="FADEF8EF"/>
    <w:rsid w:val="FBEFDD07"/>
    <w:rsid w:val="FCFFAEF9"/>
    <w:rsid w:val="FCFFEF49"/>
    <w:rsid w:val="FD7D06AD"/>
    <w:rsid w:val="FD7D3BCA"/>
    <w:rsid w:val="FD7F12B1"/>
    <w:rsid w:val="FDAEE8F0"/>
    <w:rsid w:val="FE5F9549"/>
    <w:rsid w:val="FEF9CBB9"/>
    <w:rsid w:val="FEFFF452"/>
    <w:rsid w:val="FFB7ABA4"/>
    <w:rsid w:val="FFBEE93A"/>
    <w:rsid w:val="FFE3AE3A"/>
    <w:rsid w:val="FFFDDE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6"/>
    <w:qFormat/>
    <w:uiPriority w:val="0"/>
    <w:rPr>
      <w:sz w:val="18"/>
      <w:szCs w:val="18"/>
    </w:rPr>
  </w:style>
  <w:style w:type="paragraph" w:styleId="5">
    <w:name w:val="List Paragraph"/>
    <w:basedOn w:val="1"/>
    <w:unhideWhenUsed/>
    <w:qFormat/>
    <w:uiPriority w:val="99"/>
    <w:pPr>
      <w:ind w:firstLine="420" w:firstLineChars="200"/>
    </w:pPr>
  </w:style>
  <w:style w:type="character" w:customStyle="1" w:styleId="6">
    <w:name w:val="批注框文本 Char"/>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4322</Words>
  <Characters>4428</Characters>
  <Lines>35</Lines>
  <Paragraphs>9</Paragraphs>
  <TotalTime>4</TotalTime>
  <ScaleCrop>false</ScaleCrop>
  <LinksUpToDate>false</LinksUpToDate>
  <CharactersWithSpaces>4466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2025-12-30T13:34:00Z</dcterms:created>
  <dc:creator>～晋</dc:creator>
  <cp:lastModifiedBy>刘琴</cp:lastModifiedBy>
  <dcterms:modified xsi:type="dcterms:W3CDTF">2026-01-05T08:07:05Z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2E32081DFEBF5A740AC850695ADF32B3_43</vt:lpwstr>
  </property>
  <property fmtid="{D5CDD505-2E9C-101B-9397-08002B2CF9AE}" pid="4" name="KSOTemplateDocerSaveRecord">
    <vt:lpwstr>eyJoZGlkIjoiY2RiY2RhYmI4NzM4NjUyNjhhNTU1ZDBmYTBhYjQxNTgiLCJ1c2VySWQiOiIxMjk2NTU0ODQ3In0=</vt:lpwstr>
  </property>
</Properties>
</file>